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9BC7" w14:textId="77777777" w:rsidR="001003F4" w:rsidRPr="000A3D4D" w:rsidRDefault="001003F4" w:rsidP="001003F4">
      <w:pPr>
        <w:pStyle w:val="Heading1"/>
        <w:spacing w:before="360" w:after="240" w:line="276" w:lineRule="auto"/>
        <w:jc w:val="center"/>
        <w:rPr>
          <w:b/>
          <w:bCs/>
          <w:noProof/>
          <w:sz w:val="36"/>
          <w:szCs w:val="36"/>
          <w:lang w:val="en-GB"/>
        </w:rPr>
      </w:pPr>
      <w:r w:rsidRPr="000A3D4D">
        <w:rPr>
          <w:b/>
          <w:bCs/>
          <w:noProof/>
          <w:sz w:val="36"/>
          <w:szCs w:val="36"/>
          <w:lang w:val="en-GB"/>
        </w:rPr>
        <w:t>KEY DISCOVERIES</w:t>
      </w:r>
    </w:p>
    <w:p w14:paraId="1A4EAE11" w14:textId="0366225D" w:rsidR="00BA3FAA" w:rsidRPr="00DA14FD" w:rsidRDefault="001003F4" w:rsidP="00DA14FD">
      <w:pPr>
        <w:pStyle w:val="Heading1"/>
        <w:spacing w:before="360" w:after="240" w:line="276" w:lineRule="auto"/>
        <w:jc w:val="center"/>
        <w:rPr>
          <w:i/>
          <w:iCs/>
          <w:noProof/>
          <w:lang w:val="en-GB"/>
        </w:rPr>
      </w:pPr>
      <w:r w:rsidRPr="00983477">
        <w:rPr>
          <w:i/>
          <w:iCs/>
          <w:noProof/>
          <w:lang w:val="en-GB"/>
        </w:rPr>
        <w:t xml:space="preserve">Based on data </w:t>
      </w:r>
      <w:r>
        <w:rPr>
          <w:i/>
          <w:iCs/>
          <w:noProof/>
          <w:lang w:val="en-GB"/>
        </w:rPr>
        <w:t>from</w:t>
      </w:r>
      <w:r w:rsidRPr="00983477">
        <w:rPr>
          <w:i/>
          <w:iCs/>
          <w:noProof/>
          <w:lang w:val="en-GB"/>
        </w:rPr>
        <w:t xml:space="preserve"> </w:t>
      </w:r>
      <w:r w:rsidR="00BA3FAA">
        <w:rPr>
          <w:i/>
          <w:iCs/>
          <w:noProof/>
          <w:u w:val="single"/>
          <w:lang w:val="en-GB"/>
        </w:rPr>
        <w:t>E-Services Power Bi</w:t>
      </w:r>
      <w:r w:rsidRPr="00983477">
        <w:rPr>
          <w:i/>
          <w:iCs/>
          <w:noProof/>
          <w:lang w:val="en-GB"/>
        </w:rPr>
        <w:t xml:space="preserve"> </w:t>
      </w:r>
      <w:r w:rsidR="008E7342">
        <w:rPr>
          <w:i/>
          <w:iCs/>
          <w:noProof/>
          <w:lang w:val="en-GB"/>
        </w:rPr>
        <w:t xml:space="preserve"> 2018- </w:t>
      </w:r>
      <w:r w:rsidRPr="00983477">
        <w:rPr>
          <w:i/>
          <w:iCs/>
          <w:noProof/>
          <w:lang w:val="en-GB"/>
        </w:rPr>
        <w:t>2021</w:t>
      </w:r>
    </w:p>
    <w:p w14:paraId="63F90BCB" w14:textId="3FBAD8CC" w:rsidR="00BA3FAA" w:rsidRPr="00BA3FAA" w:rsidRDefault="009834CE" w:rsidP="00BA3FAA">
      <w:pPr>
        <w:pStyle w:val="Heading2"/>
        <w:spacing w:line="360" w:lineRule="auto"/>
        <w:rPr>
          <w:lang w:val="en-GB"/>
        </w:rPr>
      </w:pPr>
      <w:r>
        <w:rPr>
          <w:lang w:val="en-GB"/>
        </w:rPr>
        <w:br/>
      </w:r>
      <w:r w:rsidR="00BA3FAA">
        <w:rPr>
          <w:lang w:val="en-GB"/>
        </w:rPr>
        <w:t>Background</w:t>
      </w:r>
    </w:p>
    <w:p w14:paraId="304F9BC7" w14:textId="280100B3" w:rsidR="00BA3FAA" w:rsidRDefault="00BA3FAA" w:rsidP="00BA3FAA">
      <w:pPr>
        <w:spacing w:line="360" w:lineRule="auto"/>
        <w:rPr>
          <w:lang w:val="en-GB"/>
        </w:rPr>
      </w:pPr>
      <w:r w:rsidRPr="00BA3FAA">
        <w:rPr>
          <w:lang w:val="en-GB"/>
        </w:rPr>
        <w:t xml:space="preserve">The survey on the use of E-services was open to all business registers globally, and it was conducted in the period </w:t>
      </w:r>
      <w:r w:rsidR="00925D33">
        <w:rPr>
          <w:lang w:val="en-GB"/>
        </w:rPr>
        <w:t>October – November 2022</w:t>
      </w:r>
      <w:r w:rsidRPr="00BA3FAA">
        <w:rPr>
          <w:lang w:val="en-GB"/>
        </w:rPr>
        <w:t xml:space="preserve">. We received 88 responses from registry jurisdictions in the Americas, Europe, Africa, </w:t>
      </w:r>
      <w:proofErr w:type="gramStart"/>
      <w:r w:rsidRPr="00BA3FAA">
        <w:rPr>
          <w:lang w:val="en-GB"/>
        </w:rPr>
        <w:t>Asia</w:t>
      </w:r>
      <w:proofErr w:type="gramEnd"/>
      <w:r w:rsidRPr="00BA3FAA">
        <w:rPr>
          <w:lang w:val="en-GB"/>
        </w:rPr>
        <w:t xml:space="preserve"> and Oceania. </w:t>
      </w:r>
    </w:p>
    <w:p w14:paraId="64466434" w14:textId="2BCE9C51" w:rsidR="00BA3FAA" w:rsidRPr="00BA3FAA" w:rsidRDefault="00BA3FAA" w:rsidP="00BA3FAA">
      <w:pPr>
        <w:spacing w:line="360" w:lineRule="auto"/>
        <w:rPr>
          <w:lang w:val="en-GB"/>
        </w:rPr>
      </w:pPr>
      <w:r w:rsidRPr="00BA3FAA">
        <w:rPr>
          <w:lang w:val="en-GB"/>
        </w:rPr>
        <w:t>The survey covered electronic filing, filer identification methods, the use of e-service solutions for various types of registry services, and emerging technologies.</w:t>
      </w:r>
    </w:p>
    <w:p w14:paraId="539FB282" w14:textId="29C0FEE0" w:rsidR="00BA3FAA" w:rsidRPr="00BA3FAA" w:rsidRDefault="00BA3FAA" w:rsidP="00BA3FAA">
      <w:pPr>
        <w:spacing w:line="360" w:lineRule="auto"/>
        <w:rPr>
          <w:lang w:val="en-GB"/>
        </w:rPr>
      </w:pPr>
    </w:p>
    <w:p w14:paraId="1E308CBF" w14:textId="6BFE9E2E" w:rsidR="00BA3FAA" w:rsidRPr="00BA3FAA" w:rsidRDefault="00BA3FAA" w:rsidP="00BA3FAA">
      <w:pPr>
        <w:pStyle w:val="Heading2"/>
        <w:spacing w:line="360" w:lineRule="auto"/>
        <w:rPr>
          <w:lang w:val="en-GB"/>
        </w:rPr>
      </w:pPr>
      <w:r w:rsidRPr="00BA3FAA">
        <w:rPr>
          <w:lang w:val="en-GB"/>
        </w:rPr>
        <w:t>Key findings</w:t>
      </w:r>
    </w:p>
    <w:p w14:paraId="773606AF" w14:textId="175713C6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t xml:space="preserve">The vast majority of responding jurisdictions accept electronic applications for entity formation. </w:t>
      </w:r>
      <w:r>
        <w:rPr>
          <w:lang w:val="en-GB"/>
        </w:rPr>
        <w:br/>
      </w:r>
    </w:p>
    <w:p w14:paraId="47945048" w14:textId="13E6142D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proofErr w:type="gramStart"/>
      <w:r w:rsidRPr="00BA3FAA">
        <w:rPr>
          <w:lang w:val="en-GB"/>
        </w:rPr>
        <w:t>The majority of</w:t>
      </w:r>
      <w:proofErr w:type="gramEnd"/>
      <w:r w:rsidRPr="00BA3FAA">
        <w:rPr>
          <w:lang w:val="en-GB"/>
        </w:rPr>
        <w:t xml:space="preserve"> the responding jurisdictions receive most of the incorporation filings in electronic format. The jurisdictions where XBRL filings are predominant are all in the U.S, and there are </w:t>
      </w:r>
      <w:proofErr w:type="gramStart"/>
      <w:r w:rsidRPr="00BA3FAA">
        <w:rPr>
          <w:lang w:val="en-GB"/>
        </w:rPr>
        <w:t>a number of</w:t>
      </w:r>
      <w:proofErr w:type="gramEnd"/>
      <w:r w:rsidRPr="00BA3FAA">
        <w:rPr>
          <w:lang w:val="en-GB"/>
        </w:rPr>
        <w:t xml:space="preserve"> jurisdictions, mostly in Europe and South America, that still receive most of the incorporation filings in paper form.</w:t>
      </w:r>
      <w:r>
        <w:rPr>
          <w:lang w:val="en-GB"/>
        </w:rPr>
        <w:br/>
      </w:r>
    </w:p>
    <w:p w14:paraId="1FD8AC48" w14:textId="3E85B924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t>A smaller share of changes than of incorporations are being filed in electronic form.</w:t>
      </w:r>
      <w:r>
        <w:rPr>
          <w:lang w:val="en-GB"/>
        </w:rPr>
        <w:br/>
      </w:r>
    </w:p>
    <w:p w14:paraId="3F771D86" w14:textId="0089E21A" w:rsidR="00BA3FAA" w:rsidRPr="00BA3FAA" w:rsidRDefault="00925D33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t>Usernames</w:t>
      </w:r>
      <w:r w:rsidR="00BA3FAA" w:rsidRPr="00BA3FAA">
        <w:rPr>
          <w:lang w:val="en-GB"/>
        </w:rPr>
        <w:t xml:space="preserve"> and passwords are the most prevalent method for filer identification, although there are some notable regional differences. </w:t>
      </w:r>
      <w:r w:rsidR="00BA3FAA">
        <w:rPr>
          <w:lang w:val="en-GB"/>
        </w:rPr>
        <w:br/>
      </w:r>
    </w:p>
    <w:p w14:paraId="5655FCA1" w14:textId="2B1C702C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t>About 60% of the responding jurisdictions have indicated that they are either adopting or planning to adopt additional identifications solutions, most notably digital identity.</w:t>
      </w:r>
      <w:r>
        <w:rPr>
          <w:lang w:val="en-GB"/>
        </w:rPr>
        <w:br/>
      </w:r>
    </w:p>
    <w:p w14:paraId="3BC9885A" w14:textId="77777777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t xml:space="preserve">About 40% of the respondents are able to issue an incorporation certificate electronically, </w:t>
      </w:r>
      <w:proofErr w:type="gramStart"/>
      <w:r w:rsidRPr="00BA3FAA">
        <w:rPr>
          <w:lang w:val="en-GB"/>
        </w:rPr>
        <w:t>i.e.</w:t>
      </w:r>
      <w:proofErr w:type="gramEnd"/>
      <w:r w:rsidRPr="00BA3FAA">
        <w:rPr>
          <w:lang w:val="en-GB"/>
        </w:rPr>
        <w:t xml:space="preserve"> run an end-to-end electronic incorporation procedure.</w:t>
      </w:r>
    </w:p>
    <w:p w14:paraId="3D80B2B2" w14:textId="7D081681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lastRenderedPageBreak/>
        <w:t>Still very few of the responding jurisdictions mandate electronic submission of information to the register.</w:t>
      </w:r>
      <w:r>
        <w:rPr>
          <w:lang w:val="en-GB"/>
        </w:rPr>
        <w:br/>
      </w:r>
    </w:p>
    <w:p w14:paraId="47232CDA" w14:textId="0D5433E1" w:rsidR="00BA3FAA" w:rsidRPr="00BA3FAA" w:rsidRDefault="00BA3FAA" w:rsidP="00BA3FAA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lang w:val="en-GB"/>
        </w:rPr>
      </w:pPr>
      <w:r w:rsidRPr="00BA3FAA">
        <w:rPr>
          <w:lang w:val="en-GB"/>
        </w:rPr>
        <w:t xml:space="preserve">Nearly 40% of the responding jurisdictions have indicated that they are either developing, </w:t>
      </w:r>
      <w:proofErr w:type="gramStart"/>
      <w:r w:rsidRPr="00BA3FAA">
        <w:rPr>
          <w:lang w:val="en-GB"/>
        </w:rPr>
        <w:t>using</w:t>
      </w:r>
      <w:proofErr w:type="gramEnd"/>
      <w:r w:rsidRPr="00BA3FAA">
        <w:rPr>
          <w:lang w:val="en-GB"/>
        </w:rPr>
        <w:t xml:space="preserve"> or planning to use new digital solutions and services based on the use of disruptive technologies, such as blockchain and artificial intelligence.</w:t>
      </w:r>
    </w:p>
    <w:p w14:paraId="6989E2F4" w14:textId="2825F584" w:rsidR="00E82F0D" w:rsidRPr="00BA3FAA" w:rsidRDefault="00E82F0D" w:rsidP="00BA3FAA">
      <w:pPr>
        <w:spacing w:before="360" w:after="120" w:line="360" w:lineRule="auto"/>
        <w:jc w:val="both"/>
        <w:rPr>
          <w:lang w:val="en-GB"/>
        </w:rPr>
      </w:pPr>
    </w:p>
    <w:sectPr w:rsidR="00E82F0D" w:rsidRPr="00BA3FAA" w:rsidSect="00860329">
      <w:headerReference w:type="default" r:id="rId7"/>
      <w:footerReference w:type="default" r:id="rId8"/>
      <w:pgSz w:w="11906" w:h="16838"/>
      <w:pgMar w:top="1440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0CCA" w14:textId="77777777" w:rsidR="00AD22CC" w:rsidRDefault="00AD22CC" w:rsidP="00F759EF">
      <w:pPr>
        <w:spacing w:after="0" w:line="240" w:lineRule="auto"/>
      </w:pPr>
      <w:r>
        <w:separator/>
      </w:r>
    </w:p>
  </w:endnote>
  <w:endnote w:type="continuationSeparator" w:id="0">
    <w:p w14:paraId="69619518" w14:textId="77777777" w:rsidR="00AD22CC" w:rsidRDefault="00AD22CC" w:rsidP="00F7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21345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b/>
        <w:bCs/>
        <w:color w:val="2B5DA8"/>
        <w:sz w:val="20"/>
        <w:szCs w:val="20"/>
      </w:rPr>
    </w:sdtEndPr>
    <w:sdtContent>
      <w:p w14:paraId="4A3D4AAC" w14:textId="77777777" w:rsidR="00860329" w:rsidRPr="00F759EF" w:rsidRDefault="00860329">
        <w:pPr>
          <w:pStyle w:val="Footer"/>
          <w:jc w:val="right"/>
          <w:rPr>
            <w:rFonts w:asciiTheme="majorHAnsi" w:hAnsiTheme="majorHAnsi" w:cstheme="majorHAnsi"/>
            <w:b/>
            <w:bCs/>
            <w:color w:val="2B5DA8"/>
            <w:sz w:val="20"/>
            <w:szCs w:val="20"/>
          </w:rPr>
        </w:pPr>
      </w:p>
      <w:tbl>
        <w:tblPr>
          <w:tblW w:w="9498" w:type="dxa"/>
          <w:tblLayout w:type="fixed"/>
          <w:tblLook w:val="01E0" w:firstRow="1" w:lastRow="1" w:firstColumn="1" w:lastColumn="1" w:noHBand="0" w:noVBand="0"/>
        </w:tblPr>
        <w:tblGrid>
          <w:gridCol w:w="360"/>
          <w:gridCol w:w="8460"/>
          <w:gridCol w:w="678"/>
        </w:tblGrid>
        <w:tr w:rsidR="00860329" w:rsidRPr="00882D74" w14:paraId="4A808A3F" w14:textId="77777777" w:rsidTr="00860329">
          <w:tc>
            <w:tcPr>
              <w:tcW w:w="360" w:type="dxa"/>
              <w:shd w:val="clear" w:color="auto" w:fill="auto"/>
              <w:tcMar>
                <w:top w:w="0" w:type="dxa"/>
                <w:left w:w="0" w:type="dxa"/>
                <w:right w:w="0" w:type="dxa"/>
              </w:tcMar>
              <w:vAlign w:val="center"/>
            </w:tcPr>
            <w:p w14:paraId="2C66865F" w14:textId="7776ACDF" w:rsidR="00860329" w:rsidRPr="00291ECD" w:rsidRDefault="00860329" w:rsidP="00860329">
              <w:pPr>
                <w:pStyle w:val="Footer"/>
                <w:ind w:right="360"/>
                <w:rPr>
                  <w:b/>
                </w:rPr>
              </w:pPr>
            </w:p>
          </w:tc>
          <w:tc>
            <w:tcPr>
              <w:tcW w:w="8460" w:type="dxa"/>
              <w:shd w:val="clear" w:color="auto" w:fill="auto"/>
              <w:tcMar>
                <w:left w:w="28" w:type="dxa"/>
              </w:tcMar>
              <w:vAlign w:val="center"/>
            </w:tcPr>
            <w:p w14:paraId="743DB4D6" w14:textId="77777777" w:rsidR="00860329" w:rsidRPr="00882CBB" w:rsidRDefault="00860329" w:rsidP="00860329">
              <w:pPr>
                <w:pStyle w:val="Footer"/>
                <w:ind w:firstLine="146"/>
                <w:jc w:val="center"/>
                <w:rPr>
                  <w:rFonts w:ascii="Calibri" w:hAnsi="Calibri"/>
                  <w:sz w:val="18"/>
                  <w:szCs w:val="18"/>
                  <w:lang w:val="es-ES"/>
                </w:rPr>
              </w:pPr>
            </w:p>
          </w:tc>
          <w:tc>
            <w:tcPr>
              <w:tcW w:w="678" w:type="dxa"/>
              <w:shd w:val="clear" w:color="auto" w:fill="auto"/>
              <w:vAlign w:val="center"/>
            </w:tcPr>
            <w:p w14:paraId="7E4F7D22" w14:textId="77777777" w:rsidR="00860329" w:rsidRPr="00860329" w:rsidRDefault="00860329" w:rsidP="00860329">
              <w:pPr>
                <w:pStyle w:val="Footer"/>
                <w:jc w:val="right"/>
                <w:rPr>
                  <w:rFonts w:asciiTheme="majorHAnsi" w:hAnsiTheme="majorHAnsi" w:cstheme="majorHAnsi"/>
                  <w:b/>
                  <w:bCs/>
                  <w:color w:val="AF1E2D"/>
                  <w:sz w:val="14"/>
                  <w:szCs w:val="14"/>
                </w:rPr>
              </w:pP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fldChar w:fldCharType="begin"/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instrText xml:space="preserve">PAGE  </w:instrText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fldChar w:fldCharType="separate"/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noProof/>
                  <w:color w:val="2B5DA8"/>
                </w:rPr>
                <w:t>6</w:t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fldChar w:fldCharType="end"/>
              </w:r>
            </w:p>
          </w:tc>
        </w:tr>
      </w:tbl>
      <w:p w14:paraId="56653B3B" w14:textId="75835413" w:rsidR="00F759EF" w:rsidRPr="00F759EF" w:rsidRDefault="00000000" w:rsidP="00860329">
        <w:pPr>
          <w:pStyle w:val="Footer"/>
          <w:rPr>
            <w:rFonts w:asciiTheme="majorHAnsi" w:hAnsiTheme="majorHAnsi" w:cstheme="majorHAnsi"/>
            <w:b/>
            <w:bCs/>
            <w:color w:val="2B5DA8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AADA" w14:textId="77777777" w:rsidR="00AD22CC" w:rsidRDefault="00AD22CC" w:rsidP="00F759EF">
      <w:pPr>
        <w:spacing w:after="0" w:line="240" w:lineRule="auto"/>
      </w:pPr>
      <w:r>
        <w:separator/>
      </w:r>
    </w:p>
  </w:footnote>
  <w:footnote w:type="continuationSeparator" w:id="0">
    <w:p w14:paraId="4815DAEE" w14:textId="77777777" w:rsidR="00AD22CC" w:rsidRDefault="00AD22CC" w:rsidP="00F7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Look w:val="01E0" w:firstRow="1" w:lastRow="1" w:firstColumn="1" w:lastColumn="1" w:noHBand="0" w:noVBand="0"/>
    </w:tblPr>
    <w:tblGrid>
      <w:gridCol w:w="2927"/>
      <w:gridCol w:w="7138"/>
    </w:tblGrid>
    <w:tr w:rsidR="00E821DA" w:rsidRPr="00E821DA" w14:paraId="0E8EAA2A" w14:textId="77777777" w:rsidTr="00860329">
      <w:trPr>
        <w:jc w:val="center"/>
      </w:trPr>
      <w:tc>
        <w:tcPr>
          <w:tcW w:w="2927" w:type="dxa"/>
          <w:shd w:val="clear" w:color="auto" w:fill="auto"/>
          <w:tcMar>
            <w:top w:w="28" w:type="dxa"/>
            <w:bottom w:w="28" w:type="dxa"/>
          </w:tcMar>
          <w:vAlign w:val="center"/>
        </w:tcPr>
        <w:p w14:paraId="15F513D9" w14:textId="1C7BAA42" w:rsidR="00E821DA" w:rsidRPr="00646B9F" w:rsidRDefault="00E821DA" w:rsidP="00860329">
          <w:pPr>
            <w:pStyle w:val="Header"/>
            <w:tabs>
              <w:tab w:val="clear" w:pos="8838"/>
              <w:tab w:val="right" w:pos="2715"/>
            </w:tabs>
            <w:ind w:left="-102"/>
            <w:rPr>
              <w:rFonts w:asciiTheme="majorHAnsi" w:hAnsiTheme="majorHAnsi" w:cstheme="majorHAnsi"/>
              <w:b/>
              <w:bCs/>
              <w:sz w:val="18"/>
              <w:szCs w:val="18"/>
              <w:lang w:val="en-GB"/>
            </w:rPr>
          </w:pPr>
          <w:r w:rsidRPr="00646B9F">
            <w:rPr>
              <w:rFonts w:asciiTheme="majorHAnsi" w:hAnsiTheme="majorHAnsi" w:cstheme="majorHAnsi"/>
              <w:b/>
              <w:bCs/>
              <w:color w:val="605E5C"/>
              <w:sz w:val="18"/>
              <w:szCs w:val="18"/>
              <w:lang w:val="en-GB"/>
            </w:rPr>
            <w:t>IBRR Survey Analysis</w:t>
          </w:r>
        </w:p>
      </w:tc>
      <w:tc>
        <w:tcPr>
          <w:tcW w:w="7138" w:type="dxa"/>
          <w:shd w:val="clear" w:color="auto" w:fill="auto"/>
          <w:vAlign w:val="center"/>
        </w:tcPr>
        <w:p w14:paraId="76073BD1" w14:textId="14032559" w:rsidR="00E821DA" w:rsidRPr="00646B9F" w:rsidRDefault="00BA3FAA" w:rsidP="00E821DA">
          <w:pPr>
            <w:pStyle w:val="Header"/>
            <w:ind w:right="-101"/>
            <w:jc w:val="right"/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</w:pPr>
          <w:r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 xml:space="preserve">E-Services </w:t>
          </w:r>
          <w:r w:rsidR="00E821DA" w:rsidRPr="00646B9F"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>201</w:t>
          </w:r>
          <w:r w:rsidR="00860329" w:rsidRPr="00646B9F"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>8-202</w:t>
          </w:r>
          <w:r w:rsidR="00A66E1A"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>1</w:t>
          </w:r>
        </w:p>
      </w:tc>
    </w:tr>
  </w:tbl>
  <w:p w14:paraId="2F8DE8FC" w14:textId="77777777" w:rsidR="00F759EF" w:rsidRDefault="00F75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477"/>
    <w:multiLevelType w:val="hybridMultilevel"/>
    <w:tmpl w:val="4B1C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74F"/>
    <w:multiLevelType w:val="hybridMultilevel"/>
    <w:tmpl w:val="0D12C280"/>
    <w:lvl w:ilvl="0" w:tplc="5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C561E9"/>
    <w:multiLevelType w:val="hybridMultilevel"/>
    <w:tmpl w:val="684A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4554"/>
    <w:multiLevelType w:val="hybridMultilevel"/>
    <w:tmpl w:val="EFB8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4BC6"/>
    <w:multiLevelType w:val="hybridMultilevel"/>
    <w:tmpl w:val="76C02B94"/>
    <w:lvl w:ilvl="0" w:tplc="5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9800AB"/>
    <w:multiLevelType w:val="hybridMultilevel"/>
    <w:tmpl w:val="9E98D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08D"/>
    <w:multiLevelType w:val="hybridMultilevel"/>
    <w:tmpl w:val="564C2198"/>
    <w:lvl w:ilvl="0" w:tplc="08CE2B74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706178431">
    <w:abstractNumId w:val="6"/>
  </w:num>
  <w:num w:numId="2" w16cid:durableId="526603851">
    <w:abstractNumId w:val="5"/>
  </w:num>
  <w:num w:numId="3" w16cid:durableId="1415786620">
    <w:abstractNumId w:val="3"/>
  </w:num>
  <w:num w:numId="4" w16cid:durableId="1123226502">
    <w:abstractNumId w:val="0"/>
  </w:num>
  <w:num w:numId="5" w16cid:durableId="279267064">
    <w:abstractNumId w:val="4"/>
  </w:num>
  <w:num w:numId="6" w16cid:durableId="888226228">
    <w:abstractNumId w:val="1"/>
  </w:num>
  <w:num w:numId="7" w16cid:durableId="154614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DF"/>
    <w:rsid w:val="00000A0F"/>
    <w:rsid w:val="00024873"/>
    <w:rsid w:val="000629A7"/>
    <w:rsid w:val="00065ECE"/>
    <w:rsid w:val="00075057"/>
    <w:rsid w:val="00082A6E"/>
    <w:rsid w:val="00083C87"/>
    <w:rsid w:val="00097E80"/>
    <w:rsid w:val="000A3C7E"/>
    <w:rsid w:val="000B6D36"/>
    <w:rsid w:val="000F5D39"/>
    <w:rsid w:val="000F6A4D"/>
    <w:rsid w:val="000F7A18"/>
    <w:rsid w:val="001003F4"/>
    <w:rsid w:val="00133CDE"/>
    <w:rsid w:val="00174B39"/>
    <w:rsid w:val="00182B8F"/>
    <w:rsid w:val="001B59DD"/>
    <w:rsid w:val="001C54DF"/>
    <w:rsid w:val="001D2EF3"/>
    <w:rsid w:val="001D7CF3"/>
    <w:rsid w:val="00206EF1"/>
    <w:rsid w:val="00234E34"/>
    <w:rsid w:val="0024478B"/>
    <w:rsid w:val="0025383D"/>
    <w:rsid w:val="002559A7"/>
    <w:rsid w:val="002579D8"/>
    <w:rsid w:val="00277ED0"/>
    <w:rsid w:val="002B209C"/>
    <w:rsid w:val="002B4CF5"/>
    <w:rsid w:val="002D0361"/>
    <w:rsid w:val="002D2CA5"/>
    <w:rsid w:val="00301141"/>
    <w:rsid w:val="00331AC3"/>
    <w:rsid w:val="00350E42"/>
    <w:rsid w:val="003516DF"/>
    <w:rsid w:val="003552D7"/>
    <w:rsid w:val="0036244E"/>
    <w:rsid w:val="0036346B"/>
    <w:rsid w:val="00373211"/>
    <w:rsid w:val="003758B6"/>
    <w:rsid w:val="003C0CC9"/>
    <w:rsid w:val="003D3476"/>
    <w:rsid w:val="003E2F20"/>
    <w:rsid w:val="003E553E"/>
    <w:rsid w:val="003F1DAA"/>
    <w:rsid w:val="003F7491"/>
    <w:rsid w:val="00405D0B"/>
    <w:rsid w:val="00415A1E"/>
    <w:rsid w:val="00431944"/>
    <w:rsid w:val="00437741"/>
    <w:rsid w:val="004633C2"/>
    <w:rsid w:val="00467542"/>
    <w:rsid w:val="00482AD8"/>
    <w:rsid w:val="004D290B"/>
    <w:rsid w:val="004D31EC"/>
    <w:rsid w:val="004E286E"/>
    <w:rsid w:val="00500758"/>
    <w:rsid w:val="00545932"/>
    <w:rsid w:val="005A5853"/>
    <w:rsid w:val="005C5DCA"/>
    <w:rsid w:val="005C61DA"/>
    <w:rsid w:val="005E44AC"/>
    <w:rsid w:val="005E77A7"/>
    <w:rsid w:val="005F674F"/>
    <w:rsid w:val="0060208F"/>
    <w:rsid w:val="00605BA0"/>
    <w:rsid w:val="006072B1"/>
    <w:rsid w:val="00613BB1"/>
    <w:rsid w:val="006236FD"/>
    <w:rsid w:val="006427B6"/>
    <w:rsid w:val="00642C36"/>
    <w:rsid w:val="00646B9F"/>
    <w:rsid w:val="00651B63"/>
    <w:rsid w:val="00664AE9"/>
    <w:rsid w:val="00675DF4"/>
    <w:rsid w:val="006907ED"/>
    <w:rsid w:val="00693AE9"/>
    <w:rsid w:val="006B6D66"/>
    <w:rsid w:val="006D081E"/>
    <w:rsid w:val="0072166B"/>
    <w:rsid w:val="007A456D"/>
    <w:rsid w:val="007C0161"/>
    <w:rsid w:val="007D378D"/>
    <w:rsid w:val="007F6B53"/>
    <w:rsid w:val="00806F36"/>
    <w:rsid w:val="00812679"/>
    <w:rsid w:val="00815586"/>
    <w:rsid w:val="008279E7"/>
    <w:rsid w:val="00831354"/>
    <w:rsid w:val="00833A7C"/>
    <w:rsid w:val="00836E3D"/>
    <w:rsid w:val="0084381F"/>
    <w:rsid w:val="00860329"/>
    <w:rsid w:val="008625E5"/>
    <w:rsid w:val="0087189D"/>
    <w:rsid w:val="008839D2"/>
    <w:rsid w:val="008849E9"/>
    <w:rsid w:val="00884A4A"/>
    <w:rsid w:val="008867B1"/>
    <w:rsid w:val="008E3053"/>
    <w:rsid w:val="008E7342"/>
    <w:rsid w:val="008F3756"/>
    <w:rsid w:val="008F5138"/>
    <w:rsid w:val="0092046B"/>
    <w:rsid w:val="00925D33"/>
    <w:rsid w:val="00953683"/>
    <w:rsid w:val="009834CE"/>
    <w:rsid w:val="009A423C"/>
    <w:rsid w:val="009C03C1"/>
    <w:rsid w:val="009D383B"/>
    <w:rsid w:val="009D6E38"/>
    <w:rsid w:val="009E6F1E"/>
    <w:rsid w:val="00A249FE"/>
    <w:rsid w:val="00A265EF"/>
    <w:rsid w:val="00A416D8"/>
    <w:rsid w:val="00A46B2E"/>
    <w:rsid w:val="00A543B1"/>
    <w:rsid w:val="00A60C84"/>
    <w:rsid w:val="00A66E1A"/>
    <w:rsid w:val="00A721F9"/>
    <w:rsid w:val="00AD22CC"/>
    <w:rsid w:val="00AD2716"/>
    <w:rsid w:val="00AE163E"/>
    <w:rsid w:val="00AE19BE"/>
    <w:rsid w:val="00AE203F"/>
    <w:rsid w:val="00AF24CC"/>
    <w:rsid w:val="00AF7070"/>
    <w:rsid w:val="00B0077F"/>
    <w:rsid w:val="00B039D7"/>
    <w:rsid w:val="00B112FC"/>
    <w:rsid w:val="00B23679"/>
    <w:rsid w:val="00B362C2"/>
    <w:rsid w:val="00B37B0A"/>
    <w:rsid w:val="00B442A5"/>
    <w:rsid w:val="00B60267"/>
    <w:rsid w:val="00B71B23"/>
    <w:rsid w:val="00B77946"/>
    <w:rsid w:val="00B831E2"/>
    <w:rsid w:val="00B87F4F"/>
    <w:rsid w:val="00B95888"/>
    <w:rsid w:val="00BA1E0E"/>
    <w:rsid w:val="00BA255A"/>
    <w:rsid w:val="00BA3FAA"/>
    <w:rsid w:val="00BC5336"/>
    <w:rsid w:val="00BD7E3F"/>
    <w:rsid w:val="00BF460F"/>
    <w:rsid w:val="00C03A93"/>
    <w:rsid w:val="00C140AF"/>
    <w:rsid w:val="00C20B16"/>
    <w:rsid w:val="00C244CA"/>
    <w:rsid w:val="00C33896"/>
    <w:rsid w:val="00C648A4"/>
    <w:rsid w:val="00C6650E"/>
    <w:rsid w:val="00C66C26"/>
    <w:rsid w:val="00C7326A"/>
    <w:rsid w:val="00CB50B6"/>
    <w:rsid w:val="00CC207C"/>
    <w:rsid w:val="00CD272F"/>
    <w:rsid w:val="00D02C20"/>
    <w:rsid w:val="00D03874"/>
    <w:rsid w:val="00D26286"/>
    <w:rsid w:val="00D30547"/>
    <w:rsid w:val="00D4316B"/>
    <w:rsid w:val="00D52861"/>
    <w:rsid w:val="00DA14FD"/>
    <w:rsid w:val="00DB4BDE"/>
    <w:rsid w:val="00DC4903"/>
    <w:rsid w:val="00E242EF"/>
    <w:rsid w:val="00E41AC8"/>
    <w:rsid w:val="00E637A2"/>
    <w:rsid w:val="00E821DA"/>
    <w:rsid w:val="00E82F0D"/>
    <w:rsid w:val="00E94A8C"/>
    <w:rsid w:val="00E94FF6"/>
    <w:rsid w:val="00EA5F5D"/>
    <w:rsid w:val="00EB1CE8"/>
    <w:rsid w:val="00ED18B6"/>
    <w:rsid w:val="00EE2D62"/>
    <w:rsid w:val="00EF1CCE"/>
    <w:rsid w:val="00F07B4B"/>
    <w:rsid w:val="00F27A81"/>
    <w:rsid w:val="00F3059E"/>
    <w:rsid w:val="00F3588E"/>
    <w:rsid w:val="00F435D1"/>
    <w:rsid w:val="00F6123E"/>
    <w:rsid w:val="00F666DB"/>
    <w:rsid w:val="00F759EF"/>
    <w:rsid w:val="00F90B8B"/>
    <w:rsid w:val="00FB44FF"/>
    <w:rsid w:val="00FB64EB"/>
    <w:rsid w:val="00FC1723"/>
    <w:rsid w:val="00FC252E"/>
    <w:rsid w:val="00FE3AC6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D8A7A"/>
  <w15:chartTrackingRefBased/>
  <w15:docId w15:val="{BCFB683A-805E-4A72-BDB7-A95B4136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F7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9EF"/>
  </w:style>
  <w:style w:type="paragraph" w:styleId="Footer">
    <w:name w:val="footer"/>
    <w:basedOn w:val="Normal"/>
    <w:link w:val="FooterChar"/>
    <w:unhideWhenUsed/>
    <w:rsid w:val="00F7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9EF"/>
  </w:style>
  <w:style w:type="character" w:styleId="PageNumber">
    <w:name w:val="page number"/>
    <w:basedOn w:val="DefaultParagraphFont"/>
    <w:rsid w:val="00860329"/>
  </w:style>
  <w:style w:type="paragraph" w:styleId="Revision">
    <w:name w:val="Revision"/>
    <w:hidden/>
    <w:uiPriority w:val="99"/>
    <w:semiHidden/>
    <w:rsid w:val="00257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6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3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 Slaveska</dc:creator>
  <cp:keywords/>
  <dc:description/>
  <cp:lastModifiedBy>Helen Fletcher</cp:lastModifiedBy>
  <cp:revision>5</cp:revision>
  <dcterms:created xsi:type="dcterms:W3CDTF">2023-06-21T16:05:00Z</dcterms:created>
  <dcterms:modified xsi:type="dcterms:W3CDTF">2023-06-22T11:08:00Z</dcterms:modified>
</cp:coreProperties>
</file>