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3BC7" w14:textId="2612DDAC" w:rsidR="00885317" w:rsidRPr="000A3D4D" w:rsidRDefault="000A3D4D" w:rsidP="000A3D4D">
      <w:pPr>
        <w:pStyle w:val="Heading1"/>
        <w:spacing w:before="360" w:after="240" w:line="276" w:lineRule="auto"/>
        <w:jc w:val="center"/>
        <w:rPr>
          <w:b/>
          <w:bCs/>
          <w:noProof/>
          <w:sz w:val="36"/>
          <w:szCs w:val="36"/>
          <w:lang w:val="en-GB"/>
        </w:rPr>
      </w:pPr>
      <w:r w:rsidRPr="000A3D4D">
        <w:rPr>
          <w:b/>
          <w:bCs/>
          <w:noProof/>
          <w:sz w:val="36"/>
          <w:szCs w:val="36"/>
          <w:lang w:val="en-GB"/>
        </w:rPr>
        <w:t>KEY DISCOVERIES</w:t>
      </w:r>
      <w:r w:rsidR="00C920EE">
        <w:rPr>
          <w:b/>
          <w:bCs/>
          <w:noProof/>
          <w:sz w:val="36"/>
          <w:szCs w:val="36"/>
          <w:lang w:val="en-GB"/>
        </w:rPr>
        <w:t xml:space="preserve"> (common sample)</w:t>
      </w:r>
    </w:p>
    <w:p w14:paraId="15682C2B" w14:textId="584D74C9" w:rsidR="000A3D4D" w:rsidRDefault="000A3D4D" w:rsidP="000A3D4D">
      <w:pPr>
        <w:pStyle w:val="Heading1"/>
        <w:spacing w:before="360" w:after="240" w:line="276" w:lineRule="auto"/>
        <w:jc w:val="center"/>
        <w:rPr>
          <w:i/>
          <w:iCs/>
          <w:noProof/>
          <w:lang w:val="en-GB"/>
        </w:rPr>
      </w:pPr>
      <w:r w:rsidRPr="00983477">
        <w:rPr>
          <w:i/>
          <w:iCs/>
          <w:noProof/>
          <w:lang w:val="en-GB"/>
        </w:rPr>
        <w:t xml:space="preserve">Based on data </w:t>
      </w:r>
      <w:r w:rsidR="00983477">
        <w:rPr>
          <w:i/>
          <w:iCs/>
          <w:noProof/>
          <w:lang w:val="en-GB"/>
        </w:rPr>
        <w:t>from</w:t>
      </w:r>
      <w:r w:rsidRPr="00983477">
        <w:rPr>
          <w:i/>
          <w:iCs/>
          <w:noProof/>
          <w:lang w:val="en-GB"/>
        </w:rPr>
        <w:t xml:space="preserve"> </w:t>
      </w:r>
      <w:r w:rsidRPr="00983477">
        <w:rPr>
          <w:i/>
          <w:iCs/>
          <w:noProof/>
          <w:u w:val="single"/>
          <w:lang w:val="en-GB"/>
        </w:rPr>
        <w:t>BUSINESS DYNAMICS Power Bi</w:t>
      </w:r>
      <w:r w:rsidRPr="00983477">
        <w:rPr>
          <w:i/>
          <w:iCs/>
          <w:noProof/>
          <w:lang w:val="en-GB"/>
        </w:rPr>
        <w:t xml:space="preserve"> 2018 – 2021.</w:t>
      </w:r>
    </w:p>
    <w:p w14:paraId="392E6D98" w14:textId="538F3B90" w:rsidR="00BD48BE" w:rsidRPr="00BD48BE" w:rsidRDefault="00BD48BE" w:rsidP="00BD48BE">
      <w:pPr>
        <w:rPr>
          <w:lang w:val="en-GB"/>
        </w:rPr>
      </w:pPr>
      <w:r>
        <w:rPr>
          <w:lang w:val="en-GB"/>
        </w:rPr>
        <w:t xml:space="preserve">The Business Dynamics survey is completed every year. It collects data from business registers from around the world on registered companies, </w:t>
      </w:r>
      <w:proofErr w:type="gramStart"/>
      <w:r>
        <w:rPr>
          <w:lang w:val="en-GB"/>
        </w:rPr>
        <w:t>incorporations</w:t>
      </w:r>
      <w:proofErr w:type="gramEnd"/>
      <w:r>
        <w:rPr>
          <w:lang w:val="en-GB"/>
        </w:rPr>
        <w:t xml:space="preserve"> and terminations. </w:t>
      </w:r>
    </w:p>
    <w:p w14:paraId="6DEAAC95" w14:textId="428CC89F" w:rsidR="00BD48BE" w:rsidRPr="00F02355" w:rsidRDefault="00BD48BE" w:rsidP="00BD48BE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Key Discovery document</w:t>
      </w:r>
      <w:r w:rsidR="000A3D4D" w:rsidRPr="00F0235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is</w:t>
      </w:r>
      <w:r w:rsidR="00C920EE">
        <w:rPr>
          <w:sz w:val="24"/>
          <w:szCs w:val="24"/>
          <w:lang w:val="en-GB"/>
        </w:rPr>
        <w:t xml:space="preserve"> based on the responses from</w:t>
      </w:r>
      <w:r w:rsidR="000A3D4D" w:rsidRPr="00F02355">
        <w:rPr>
          <w:sz w:val="24"/>
          <w:szCs w:val="24"/>
          <w:lang w:val="en-GB"/>
        </w:rPr>
        <w:t xml:space="preserve"> 39 respondents </w:t>
      </w:r>
      <w:r w:rsidR="00C920EE">
        <w:rPr>
          <w:sz w:val="24"/>
          <w:szCs w:val="24"/>
          <w:lang w:val="en-GB"/>
        </w:rPr>
        <w:t>that have completed the survey every year between</w:t>
      </w:r>
      <w:r w:rsidR="000A3D4D" w:rsidRPr="00F02355">
        <w:rPr>
          <w:sz w:val="24"/>
          <w:szCs w:val="24"/>
          <w:lang w:val="en-GB"/>
        </w:rPr>
        <w:t xml:space="preserve"> 2018 – 2021</w:t>
      </w:r>
      <w:r w:rsidR="00C920EE">
        <w:rPr>
          <w:sz w:val="24"/>
          <w:szCs w:val="24"/>
          <w:lang w:val="en-GB"/>
        </w:rPr>
        <w:t>. They</w:t>
      </w:r>
      <w:r w:rsidR="00F02355">
        <w:rPr>
          <w:sz w:val="24"/>
          <w:szCs w:val="24"/>
          <w:lang w:val="en-GB"/>
        </w:rPr>
        <w:t xml:space="preserve"> represent around 45 million companies. </w:t>
      </w:r>
    </w:p>
    <w:p w14:paraId="1B0D488B" w14:textId="63D14D26" w:rsidR="00B039D7" w:rsidRPr="003E553E" w:rsidRDefault="00F90B8B" w:rsidP="00F90B8B">
      <w:pPr>
        <w:pStyle w:val="Heading1"/>
        <w:spacing w:before="360" w:after="240" w:line="276" w:lineRule="auto"/>
        <w:rPr>
          <w:i/>
          <w:iCs/>
          <w:noProof/>
          <w:sz w:val="28"/>
          <w:szCs w:val="28"/>
          <w:lang w:val="en-GB"/>
        </w:rPr>
      </w:pPr>
      <w:r w:rsidRPr="003E553E">
        <w:rPr>
          <w:i/>
          <w:iCs/>
          <w:noProof/>
          <w:sz w:val="28"/>
          <w:szCs w:val="28"/>
          <w:lang w:val="en-GB"/>
        </w:rPr>
        <w:t>Registered Companies</w:t>
      </w:r>
    </w:p>
    <w:p w14:paraId="28E2319A" w14:textId="3B38D4A2" w:rsidR="003F1DAA" w:rsidRPr="00E301EC" w:rsidRDefault="00B039D7" w:rsidP="00E301EC">
      <w:pPr>
        <w:pStyle w:val="ListParagraph"/>
        <w:numPr>
          <w:ilvl w:val="0"/>
          <w:numId w:val="3"/>
        </w:numPr>
        <w:spacing w:before="240" w:after="120" w:line="360" w:lineRule="auto"/>
        <w:ind w:left="283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876156">
        <w:rPr>
          <w:rFonts w:ascii="Calibri" w:eastAsia="Times New Roman" w:hAnsi="Calibri" w:cs="Calibri"/>
          <w:noProof/>
          <w:lang w:val="en-GB"/>
        </w:rPr>
        <w:t>The number of registered companies on the registers in the responding jurisdictions has been steadily ri</w:t>
      </w:r>
      <w:r w:rsidR="00BD7E3F" w:rsidRPr="00876156">
        <w:rPr>
          <w:rFonts w:ascii="Calibri" w:eastAsia="Times New Roman" w:hAnsi="Calibri" w:cs="Calibri"/>
          <w:noProof/>
          <w:lang w:val="en-GB"/>
        </w:rPr>
        <w:t>sing in the period 2018-202</w:t>
      </w:r>
      <w:r w:rsidR="004E286E" w:rsidRPr="00876156">
        <w:rPr>
          <w:rFonts w:ascii="Calibri" w:eastAsia="Times New Roman" w:hAnsi="Calibri" w:cs="Calibri"/>
          <w:noProof/>
          <w:lang w:val="en-GB"/>
        </w:rPr>
        <w:t>1</w:t>
      </w:r>
      <w:r w:rsidR="00BD7E3F" w:rsidRPr="00876156">
        <w:rPr>
          <w:rFonts w:ascii="Calibri" w:eastAsia="Times New Roman" w:hAnsi="Calibri" w:cs="Calibri"/>
          <w:noProof/>
          <w:lang w:val="en-GB"/>
        </w:rPr>
        <w:t>, regardless of development status or region</w:t>
      </w:r>
      <w:r w:rsidR="00876156">
        <w:rPr>
          <w:rFonts w:ascii="Calibri" w:eastAsia="Times New Roman" w:hAnsi="Calibri" w:cs="Calibri"/>
          <w:noProof/>
          <w:lang w:val="en-GB"/>
        </w:rPr>
        <w:t>.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71ECF48F" w14:textId="17A0CD57" w:rsidR="00D30547" w:rsidRDefault="00BD7E3F" w:rsidP="00166A33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 xml:space="preserve">The number of registered companies on the registers in the responding jurisdictions per 1000 </w:t>
      </w:r>
      <w:r w:rsidR="008F3756" w:rsidRPr="003E553E">
        <w:rPr>
          <w:rFonts w:ascii="Calibri" w:eastAsia="Times New Roman" w:hAnsi="Calibri" w:cs="Calibri"/>
          <w:noProof/>
          <w:lang w:val="en-GB"/>
        </w:rPr>
        <w:t>inhabitants</w:t>
      </w:r>
      <w:r w:rsidRPr="003E553E">
        <w:rPr>
          <w:rFonts w:ascii="Calibri" w:eastAsia="Times New Roman" w:hAnsi="Calibri" w:cs="Calibri"/>
          <w:noProof/>
          <w:lang w:val="en-GB"/>
        </w:rPr>
        <w:t xml:space="preserve"> has also been rising regardless of development status</w:t>
      </w:r>
      <w:r w:rsidR="00A721F9" w:rsidRPr="003E553E">
        <w:rPr>
          <w:rFonts w:ascii="Calibri" w:eastAsia="Times New Roman" w:hAnsi="Calibri" w:cs="Calibri"/>
          <w:noProof/>
          <w:lang w:val="en-GB"/>
        </w:rPr>
        <w:t>.</w:t>
      </w:r>
      <w:r w:rsidR="001C54DF"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="00D30547" w:rsidRPr="003E553E">
        <w:rPr>
          <w:rFonts w:ascii="Calibri" w:eastAsia="Times New Roman" w:hAnsi="Calibri" w:cs="Calibri"/>
          <w:noProof/>
          <w:lang w:val="en-GB"/>
        </w:rPr>
        <w:t xml:space="preserve">We mark a low but stable growth rate of the number of registered companies per 1000 inhabitants in </w:t>
      </w:r>
      <w:r w:rsidR="00D30547" w:rsidRPr="003E553E">
        <w:rPr>
          <w:rFonts w:ascii="Calibri" w:eastAsia="Times New Roman" w:hAnsi="Calibri" w:cs="Calibri"/>
          <w:noProof/>
          <w:lang w:val="en-US"/>
        </w:rPr>
        <w:t>the</w:t>
      </w:r>
      <w:r w:rsidR="00D30547" w:rsidRPr="003E553E">
        <w:rPr>
          <w:rFonts w:ascii="Calibri" w:eastAsia="Times New Roman" w:hAnsi="Calibri" w:cs="Calibri"/>
          <w:noProof/>
          <w:lang w:val="mk-MK"/>
        </w:rPr>
        <w:t xml:space="preserve"> </w:t>
      </w:r>
      <w:r w:rsidR="00D30547" w:rsidRPr="003E553E">
        <w:rPr>
          <w:rFonts w:ascii="Calibri" w:eastAsia="Times New Roman" w:hAnsi="Calibri" w:cs="Calibri"/>
          <w:noProof/>
          <w:lang w:val="en-GB"/>
        </w:rPr>
        <w:t xml:space="preserve">developed countries and the countries in transition, while in the developing countries the nubmer shows considerable raise in 2021 compared to previously observed years. </w:t>
      </w:r>
    </w:p>
    <w:p w14:paraId="011C66BF" w14:textId="77777777" w:rsidR="00F02355" w:rsidRPr="003E553E" w:rsidRDefault="00F02355" w:rsidP="00F02355">
      <w:pPr>
        <w:pStyle w:val="ListParagraph"/>
        <w:spacing w:before="360" w:after="120" w:line="360" w:lineRule="auto"/>
        <w:ind w:left="283"/>
        <w:jc w:val="both"/>
        <w:rPr>
          <w:rFonts w:ascii="Calibri" w:eastAsia="Times New Roman" w:hAnsi="Calibri" w:cs="Calibri"/>
          <w:noProof/>
          <w:lang w:val="en-GB"/>
        </w:rPr>
      </w:pPr>
    </w:p>
    <w:p w14:paraId="09B5CF7E" w14:textId="32BD7613" w:rsidR="00F02355" w:rsidRDefault="00D30547" w:rsidP="00F02355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7A2512">
        <w:rPr>
          <w:rFonts w:ascii="Calibri" w:eastAsia="Times New Roman" w:hAnsi="Calibri" w:cs="Calibri"/>
          <w:noProof/>
          <w:lang w:val="en-GB"/>
        </w:rPr>
        <w:t>In Europe the total number of companies has increased slightly by 1</w:t>
      </w:r>
      <w:r w:rsidR="00977488">
        <w:rPr>
          <w:rFonts w:ascii="Calibri" w:eastAsia="Times New Roman" w:hAnsi="Calibri" w:cs="Calibri"/>
          <w:noProof/>
          <w:lang w:val="en-GB"/>
        </w:rPr>
        <w:t>.57</w:t>
      </w:r>
      <w:r w:rsidR="007A2512">
        <w:rPr>
          <w:rFonts w:ascii="Calibri" w:eastAsia="Times New Roman" w:hAnsi="Calibri" w:cs="Calibri"/>
          <w:noProof/>
          <w:lang w:val="en-GB"/>
        </w:rPr>
        <w:t xml:space="preserve"> </w:t>
      </w:r>
      <w:r w:rsidRPr="007A2512">
        <w:rPr>
          <w:rFonts w:ascii="Calibri" w:eastAsia="Times New Roman" w:hAnsi="Calibri" w:cs="Calibri"/>
          <w:noProof/>
          <w:lang w:val="en-GB"/>
        </w:rPr>
        <w:t xml:space="preserve">% in 2019-2020, and showing increase by </w:t>
      </w:r>
      <w:r w:rsidR="007A2512">
        <w:rPr>
          <w:rFonts w:ascii="Calibri" w:eastAsia="Times New Roman" w:hAnsi="Calibri" w:cs="Calibri"/>
          <w:noProof/>
          <w:lang w:val="en-GB"/>
        </w:rPr>
        <w:t xml:space="preserve">2.33 </w:t>
      </w:r>
      <w:r w:rsidRPr="007A2512">
        <w:rPr>
          <w:rFonts w:ascii="Calibri" w:eastAsia="Times New Roman" w:hAnsi="Calibri" w:cs="Calibri"/>
          <w:noProof/>
          <w:lang w:val="en-GB"/>
        </w:rPr>
        <w:t>% in 2020-2021. Substanstial increase in LLCs and increase in private limited companies, but decrease in other legal forms.</w:t>
      </w:r>
    </w:p>
    <w:p w14:paraId="08E34F6E" w14:textId="77777777" w:rsidR="00F02355" w:rsidRPr="00F02355" w:rsidRDefault="00F02355" w:rsidP="00F02355">
      <w:pPr>
        <w:pStyle w:val="ListParagraph"/>
        <w:rPr>
          <w:rFonts w:ascii="Calibri" w:eastAsia="Times New Roman" w:hAnsi="Calibri" w:cs="Calibri"/>
          <w:noProof/>
          <w:lang w:val="en-GB"/>
        </w:rPr>
      </w:pPr>
    </w:p>
    <w:p w14:paraId="5E1FE6BA" w14:textId="77777777" w:rsidR="00F02355" w:rsidRPr="00F02355" w:rsidRDefault="00F02355" w:rsidP="00F02355">
      <w:pPr>
        <w:pStyle w:val="ListParagraph"/>
        <w:spacing w:before="240" w:after="120" w:line="360" w:lineRule="auto"/>
        <w:ind w:left="284"/>
        <w:jc w:val="both"/>
        <w:rPr>
          <w:rFonts w:ascii="Calibri" w:eastAsia="Times New Roman" w:hAnsi="Calibri" w:cs="Calibri"/>
          <w:noProof/>
          <w:lang w:val="en-GB"/>
        </w:rPr>
      </w:pPr>
    </w:p>
    <w:p w14:paraId="653A8690" w14:textId="5E09F128" w:rsidR="00BD7E3F" w:rsidRDefault="002F53BE" w:rsidP="00A249FE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>
        <w:rPr>
          <w:rFonts w:ascii="Calibri" w:eastAsia="Times New Roman" w:hAnsi="Calibri" w:cs="Calibri"/>
          <w:noProof/>
          <w:lang w:val="en-GB"/>
        </w:rPr>
        <w:t>There is a</w:t>
      </w:r>
      <w:r w:rsidR="00FF6224" w:rsidRPr="003E553E">
        <w:rPr>
          <w:rFonts w:ascii="Calibri" w:eastAsia="Times New Roman" w:hAnsi="Calibri" w:cs="Calibri"/>
          <w:noProof/>
          <w:lang w:val="en-GB"/>
        </w:rPr>
        <w:t xml:space="preserve"> reduction in the total number of general partnerships across jurisdictions regardless of development status</w:t>
      </w:r>
      <w:r w:rsidR="00A46B2E" w:rsidRPr="003E553E">
        <w:t xml:space="preserve"> </w:t>
      </w:r>
      <w:r w:rsidR="00D30547" w:rsidRPr="003E553E">
        <w:rPr>
          <w:rFonts w:ascii="Calibri" w:eastAsia="Times New Roman" w:hAnsi="Calibri" w:cs="Calibri"/>
          <w:noProof/>
          <w:lang w:val="en-GB"/>
        </w:rPr>
        <w:t xml:space="preserve">mostly in countries of </w:t>
      </w:r>
      <w:r w:rsidR="005C6140">
        <w:rPr>
          <w:rFonts w:ascii="Calibri" w:eastAsia="Times New Roman" w:hAnsi="Calibri" w:cs="Calibri"/>
          <w:noProof/>
          <w:lang w:val="en-GB"/>
        </w:rPr>
        <w:t>North</w:t>
      </w:r>
      <w:r w:rsidR="00D30547" w:rsidRPr="003E553E">
        <w:rPr>
          <w:rFonts w:ascii="Calibri" w:eastAsia="Times New Roman" w:hAnsi="Calibri" w:cs="Calibri"/>
          <w:noProof/>
          <w:lang w:val="en-GB"/>
        </w:rPr>
        <w:t xml:space="preserve"> America, Europe</w:t>
      </w:r>
      <w:r w:rsidR="00D35392">
        <w:rPr>
          <w:rFonts w:ascii="Calibri" w:eastAsia="Times New Roman" w:hAnsi="Calibri" w:cs="Calibri"/>
          <w:noProof/>
          <w:lang w:val="en-GB"/>
        </w:rPr>
        <w:t xml:space="preserve"> and Asia</w:t>
      </w:r>
      <w:r w:rsidR="00D30547" w:rsidRPr="003E553E">
        <w:rPr>
          <w:rFonts w:ascii="Calibri" w:eastAsia="Times New Roman" w:hAnsi="Calibri" w:cs="Calibri"/>
          <w:noProof/>
          <w:lang w:val="mk-MK"/>
        </w:rPr>
        <w:t>.</w:t>
      </w:r>
      <w:r w:rsidR="00D30547"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="003F0482">
        <w:rPr>
          <w:rFonts w:ascii="Calibri" w:eastAsia="Times New Roman" w:hAnsi="Calibri" w:cs="Calibri"/>
          <w:noProof/>
          <w:lang w:val="en-GB"/>
        </w:rPr>
        <w:t>In North America there is significant decrease of limited companies in 2021</w:t>
      </w:r>
      <w:r w:rsidR="00992CDD">
        <w:rPr>
          <w:rFonts w:ascii="Calibri" w:eastAsia="Times New Roman" w:hAnsi="Calibri" w:cs="Calibri"/>
          <w:noProof/>
          <w:lang w:val="en-GB"/>
        </w:rPr>
        <w:t xml:space="preserve">, while in South America there is significant decrease in LLC’s. </w:t>
      </w:r>
      <w:r w:rsidR="00B24340">
        <w:rPr>
          <w:rFonts w:ascii="Calibri" w:eastAsia="Times New Roman" w:hAnsi="Calibri" w:cs="Calibri"/>
          <w:noProof/>
          <w:lang w:val="en-GB"/>
        </w:rPr>
        <w:t xml:space="preserve">In Oceania </w:t>
      </w:r>
      <w:r w:rsidR="000B1218">
        <w:rPr>
          <w:rFonts w:ascii="Calibri" w:eastAsia="Times New Roman" w:hAnsi="Calibri" w:cs="Calibri"/>
          <w:noProof/>
          <w:lang w:val="en-GB"/>
        </w:rPr>
        <w:t xml:space="preserve">for 2021, the biggest decrease is withnessed in Limited Companies 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448F0EFB" w14:textId="3F31A0E8" w:rsidR="00E8339B" w:rsidRPr="003E553E" w:rsidRDefault="00BB4D6B" w:rsidP="00A249FE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>
        <w:rPr>
          <w:rFonts w:ascii="Calibri" w:eastAsia="Times New Roman" w:hAnsi="Calibri" w:cs="Calibri"/>
          <w:noProof/>
          <w:lang w:val="en-GB"/>
        </w:rPr>
        <w:t xml:space="preserve">In developed economies the biggest increase is observed in Private Limited Companies by </w:t>
      </w:r>
      <w:r w:rsidR="007F29F5">
        <w:rPr>
          <w:rFonts w:ascii="Calibri" w:eastAsia="Times New Roman" w:hAnsi="Calibri" w:cs="Calibri"/>
          <w:noProof/>
          <w:lang w:val="en-GB"/>
        </w:rPr>
        <w:t>10.10%</w:t>
      </w:r>
      <w:r w:rsidR="004505EA">
        <w:rPr>
          <w:rFonts w:ascii="Calibri" w:eastAsia="Times New Roman" w:hAnsi="Calibri" w:cs="Calibri"/>
          <w:noProof/>
          <w:lang w:val="en-GB"/>
        </w:rPr>
        <w:t xml:space="preserve"> and LLC’s by 13.82%</w:t>
      </w:r>
      <w:r w:rsidR="007F29F5">
        <w:rPr>
          <w:rFonts w:ascii="Calibri" w:eastAsia="Times New Roman" w:hAnsi="Calibri" w:cs="Calibri"/>
          <w:noProof/>
          <w:lang w:val="en-GB"/>
        </w:rPr>
        <w:t>, 2021 compared to 2020. In developing companies</w:t>
      </w:r>
      <w:r w:rsidR="004505EA">
        <w:rPr>
          <w:rFonts w:ascii="Calibri" w:eastAsia="Times New Roman" w:hAnsi="Calibri" w:cs="Calibri"/>
          <w:noProof/>
          <w:lang w:val="en-GB"/>
        </w:rPr>
        <w:t>. In dev</w:t>
      </w:r>
      <w:r w:rsidR="0084150F">
        <w:rPr>
          <w:rFonts w:ascii="Calibri" w:eastAsia="Times New Roman" w:hAnsi="Calibri" w:cs="Calibri"/>
          <w:noProof/>
          <w:lang w:val="en-GB"/>
        </w:rPr>
        <w:t>e</w:t>
      </w:r>
      <w:r w:rsidR="004505EA">
        <w:rPr>
          <w:rFonts w:ascii="Calibri" w:eastAsia="Times New Roman" w:hAnsi="Calibri" w:cs="Calibri"/>
          <w:noProof/>
          <w:lang w:val="en-GB"/>
        </w:rPr>
        <w:t xml:space="preserve">loping economies </w:t>
      </w:r>
      <w:r w:rsidR="00627373">
        <w:rPr>
          <w:rFonts w:ascii="Calibri" w:eastAsia="Times New Roman" w:hAnsi="Calibri" w:cs="Calibri"/>
          <w:noProof/>
          <w:lang w:val="en-GB"/>
        </w:rPr>
        <w:t>frontrunner in terms of g</w:t>
      </w:r>
      <w:r w:rsidR="00427FCF">
        <w:rPr>
          <w:rFonts w:ascii="Calibri" w:eastAsia="Times New Roman" w:hAnsi="Calibri" w:cs="Calibri"/>
          <w:noProof/>
          <w:lang w:val="en-GB"/>
        </w:rPr>
        <w:t xml:space="preserve">rowth </w:t>
      </w:r>
      <w:r w:rsidR="000D15A4">
        <w:rPr>
          <w:rFonts w:ascii="Calibri" w:eastAsia="Times New Roman" w:hAnsi="Calibri" w:cs="Calibri"/>
          <w:noProof/>
          <w:lang w:val="en-GB"/>
        </w:rPr>
        <w:t xml:space="preserve">are LLC’s with </w:t>
      </w:r>
      <w:r w:rsidR="00816826">
        <w:rPr>
          <w:rFonts w:ascii="Calibri" w:eastAsia="Times New Roman" w:hAnsi="Calibri" w:cs="Calibri"/>
          <w:noProof/>
          <w:lang w:val="en-GB"/>
        </w:rPr>
        <w:t>87.52%, while</w:t>
      </w:r>
      <w:r w:rsidR="00821987">
        <w:rPr>
          <w:rFonts w:ascii="Calibri" w:eastAsia="Times New Roman" w:hAnsi="Calibri" w:cs="Calibri"/>
          <w:noProof/>
          <w:lang w:val="en-GB"/>
        </w:rPr>
        <w:t xml:space="preserve"> </w:t>
      </w:r>
      <w:r w:rsidR="0007701A">
        <w:rPr>
          <w:rFonts w:ascii="Calibri" w:eastAsia="Times New Roman" w:hAnsi="Calibri" w:cs="Calibri"/>
          <w:noProof/>
          <w:lang w:val="en-GB"/>
        </w:rPr>
        <w:t xml:space="preserve">drop is observed in </w:t>
      </w:r>
      <w:r w:rsidR="00451FD7">
        <w:rPr>
          <w:rFonts w:ascii="Calibri" w:eastAsia="Times New Roman" w:hAnsi="Calibri" w:cs="Calibri"/>
          <w:noProof/>
          <w:lang w:val="en-GB"/>
        </w:rPr>
        <w:t xml:space="preserve">Limited Companies </w:t>
      </w:r>
      <w:r w:rsidR="00BA7A56">
        <w:rPr>
          <w:rFonts w:ascii="Calibri" w:eastAsia="Times New Roman" w:hAnsi="Calibri" w:cs="Calibri"/>
          <w:noProof/>
          <w:lang w:val="en-GB"/>
        </w:rPr>
        <w:t xml:space="preserve">in 2021 compared to 2020. In transitioning economies growth is observed </w:t>
      </w:r>
      <w:r w:rsidR="00C76B67">
        <w:rPr>
          <w:rFonts w:ascii="Calibri" w:eastAsia="Times New Roman" w:hAnsi="Calibri" w:cs="Calibri"/>
          <w:noProof/>
          <w:lang w:val="en-GB"/>
        </w:rPr>
        <w:t xml:space="preserve">with </w:t>
      </w:r>
      <w:r w:rsidR="00C45044">
        <w:rPr>
          <w:rFonts w:ascii="Calibri" w:eastAsia="Times New Roman" w:hAnsi="Calibri" w:cs="Calibri"/>
          <w:noProof/>
          <w:lang w:val="en-GB"/>
        </w:rPr>
        <w:t xml:space="preserve">Private Limited </w:t>
      </w:r>
      <w:r w:rsidR="00C45044">
        <w:rPr>
          <w:rFonts w:ascii="Calibri" w:eastAsia="Times New Roman" w:hAnsi="Calibri" w:cs="Calibri"/>
          <w:noProof/>
          <w:lang w:val="en-GB"/>
        </w:rPr>
        <w:lastRenderedPageBreak/>
        <w:t xml:space="preserve">Companies (2.28%) </w:t>
      </w:r>
      <w:r w:rsidR="00677AB5">
        <w:rPr>
          <w:rFonts w:ascii="Calibri" w:eastAsia="Times New Roman" w:hAnsi="Calibri" w:cs="Calibri"/>
          <w:noProof/>
          <w:lang w:val="en-GB"/>
        </w:rPr>
        <w:t>and Public Limited Companies (22.36%). Drop is observed in General Partnerships</w:t>
      </w:r>
      <w:r w:rsidR="00FD0CF0">
        <w:rPr>
          <w:rFonts w:ascii="Calibri" w:eastAsia="Times New Roman" w:hAnsi="Calibri" w:cs="Calibri"/>
          <w:noProof/>
          <w:lang w:val="en-GB"/>
        </w:rPr>
        <w:t xml:space="preserve"> (-13.60%), Sole Traders (-3.06%) and LLC’s (</w:t>
      </w:r>
      <w:r w:rsidR="00FE65A9">
        <w:rPr>
          <w:rFonts w:ascii="Calibri" w:eastAsia="Times New Roman" w:hAnsi="Calibri" w:cs="Calibri"/>
          <w:noProof/>
          <w:lang w:val="en-GB"/>
        </w:rPr>
        <w:t xml:space="preserve">-4.23%). </w:t>
      </w:r>
    </w:p>
    <w:p w14:paraId="5E0A30C7" w14:textId="5F32549E" w:rsidR="00953683" w:rsidRPr="003E553E" w:rsidRDefault="00F90B8B" w:rsidP="00F90B8B">
      <w:pPr>
        <w:pStyle w:val="Heading1"/>
        <w:spacing w:before="360" w:after="240" w:line="276" w:lineRule="auto"/>
        <w:rPr>
          <w:i/>
          <w:iCs/>
          <w:noProof/>
          <w:sz w:val="28"/>
          <w:szCs w:val="28"/>
          <w:lang w:val="en-GB"/>
        </w:rPr>
      </w:pPr>
      <w:r w:rsidRPr="003E553E">
        <w:rPr>
          <w:i/>
          <w:iCs/>
          <w:noProof/>
          <w:sz w:val="28"/>
          <w:szCs w:val="28"/>
          <w:lang w:val="en-GB"/>
        </w:rPr>
        <w:t>Incorporations</w:t>
      </w:r>
    </w:p>
    <w:p w14:paraId="47FE1A09" w14:textId="04951A64" w:rsidR="00651B63" w:rsidRDefault="00651B63" w:rsidP="0090712C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>New incorporations</w:t>
      </w:r>
      <w:r w:rsidR="00664381">
        <w:rPr>
          <w:rFonts w:ascii="Calibri" w:eastAsia="Times New Roman" w:hAnsi="Calibri" w:cs="Calibri"/>
          <w:noProof/>
          <w:lang w:val="en-GB"/>
        </w:rPr>
        <w:t xml:space="preserve"> </w:t>
      </w:r>
      <w:r w:rsidRPr="003E553E">
        <w:rPr>
          <w:rFonts w:ascii="Calibri" w:eastAsia="Times New Roman" w:hAnsi="Calibri" w:cs="Calibri"/>
          <w:noProof/>
          <w:lang w:val="en-GB"/>
        </w:rPr>
        <w:t>have been rising in</w:t>
      </w:r>
      <w:r w:rsidR="008279E7" w:rsidRPr="003E553E">
        <w:rPr>
          <w:rFonts w:ascii="Calibri" w:eastAsia="Times New Roman" w:hAnsi="Calibri" w:cs="Calibri"/>
          <w:noProof/>
          <w:lang w:val="en-GB"/>
        </w:rPr>
        <w:t xml:space="preserve"> developed and developing </w:t>
      </w:r>
      <w:r w:rsidR="002D6996">
        <w:rPr>
          <w:rFonts w:ascii="Calibri" w:eastAsia="Times New Roman" w:hAnsi="Calibri" w:cs="Calibri"/>
          <w:noProof/>
          <w:lang w:val="en-GB"/>
        </w:rPr>
        <w:t>j</w:t>
      </w:r>
      <w:r w:rsidRPr="002D6996">
        <w:rPr>
          <w:rFonts w:ascii="Calibri" w:eastAsia="Times New Roman" w:hAnsi="Calibri" w:cs="Calibri"/>
          <w:noProof/>
          <w:lang w:val="en-GB"/>
        </w:rPr>
        <w:t>urisdictions</w:t>
      </w:r>
      <w:r w:rsidR="00CD7A67">
        <w:rPr>
          <w:rFonts w:ascii="Calibri" w:eastAsia="Times New Roman" w:hAnsi="Calibri" w:cs="Calibri"/>
          <w:noProof/>
          <w:lang w:val="en-GB"/>
        </w:rPr>
        <w:t>, while there is slight decrea</w:t>
      </w:r>
      <w:r w:rsidR="0090712C">
        <w:rPr>
          <w:rFonts w:ascii="Calibri" w:eastAsia="Times New Roman" w:hAnsi="Calibri" w:cs="Calibri"/>
          <w:noProof/>
          <w:lang w:val="en-GB"/>
        </w:rPr>
        <w:t>se in absolut</w:t>
      </w:r>
      <w:r w:rsidR="00F02355">
        <w:rPr>
          <w:rFonts w:ascii="Calibri" w:eastAsia="Times New Roman" w:hAnsi="Calibri" w:cs="Calibri"/>
          <w:noProof/>
          <w:lang w:val="en-GB"/>
        </w:rPr>
        <w:t>e</w:t>
      </w:r>
      <w:r w:rsidR="0090712C">
        <w:rPr>
          <w:rFonts w:ascii="Calibri" w:eastAsia="Times New Roman" w:hAnsi="Calibri" w:cs="Calibri"/>
          <w:noProof/>
          <w:lang w:val="en-GB"/>
        </w:rPr>
        <w:t xml:space="preserve"> nu</w:t>
      </w:r>
      <w:r w:rsidR="007F2B0C">
        <w:rPr>
          <w:rFonts w:ascii="Calibri" w:eastAsia="Times New Roman" w:hAnsi="Calibri" w:cs="Calibri"/>
          <w:noProof/>
          <w:lang w:val="en-GB"/>
        </w:rPr>
        <w:t>m</w:t>
      </w:r>
      <w:r w:rsidR="0090712C" w:rsidRPr="0090712C">
        <w:rPr>
          <w:rFonts w:ascii="Calibri" w:eastAsia="Times New Roman" w:hAnsi="Calibri" w:cs="Calibri"/>
          <w:noProof/>
          <w:lang w:val="en-GB"/>
        </w:rPr>
        <w:t xml:space="preserve">ber of incorporations in transitioning </w:t>
      </w:r>
      <w:r w:rsidR="007F2B0C">
        <w:rPr>
          <w:rFonts w:ascii="Calibri" w:eastAsia="Times New Roman" w:hAnsi="Calibri" w:cs="Calibri"/>
          <w:noProof/>
          <w:lang w:val="en-GB"/>
        </w:rPr>
        <w:t>economies for the observed 39 jurisdictions</w:t>
      </w:r>
      <w:r w:rsidR="00DD1228">
        <w:rPr>
          <w:rFonts w:ascii="Calibri" w:eastAsia="Times New Roman" w:hAnsi="Calibri" w:cs="Calibri"/>
          <w:noProof/>
          <w:lang w:val="en-GB"/>
        </w:rPr>
        <w:t xml:space="preserve"> for 2021. </w:t>
      </w:r>
    </w:p>
    <w:p w14:paraId="36EEDCB0" w14:textId="77777777" w:rsidR="00F02355" w:rsidRPr="0090712C" w:rsidRDefault="00F02355" w:rsidP="00F02355">
      <w:pPr>
        <w:pStyle w:val="ListParagraph"/>
        <w:spacing w:before="240" w:after="120" w:line="360" w:lineRule="auto"/>
        <w:ind w:left="284"/>
        <w:jc w:val="both"/>
        <w:rPr>
          <w:rFonts w:ascii="Calibri" w:eastAsia="Times New Roman" w:hAnsi="Calibri" w:cs="Calibri"/>
          <w:noProof/>
          <w:lang w:val="en-GB"/>
        </w:rPr>
      </w:pPr>
    </w:p>
    <w:p w14:paraId="450B8742" w14:textId="2A3E0CE8" w:rsidR="00F02355" w:rsidRPr="00F02355" w:rsidRDefault="00FC527C" w:rsidP="00F02355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>
        <w:rPr>
          <w:rFonts w:ascii="Calibri" w:eastAsia="Times New Roman" w:hAnsi="Calibri" w:cs="Calibri"/>
          <w:noProof/>
          <w:lang w:val="en-GB"/>
        </w:rPr>
        <w:t>N</w:t>
      </w:r>
      <w:r w:rsidR="00934AA9">
        <w:rPr>
          <w:rFonts w:ascii="Calibri" w:eastAsia="Times New Roman" w:hAnsi="Calibri" w:cs="Calibri"/>
          <w:noProof/>
          <w:lang w:val="en-GB"/>
        </w:rPr>
        <w:t>egative</w:t>
      </w:r>
      <w:r w:rsidR="00000A0F"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="00331AC3" w:rsidRPr="003E553E">
        <w:rPr>
          <w:rFonts w:ascii="Calibri" w:eastAsia="Times New Roman" w:hAnsi="Calibri" w:cs="Calibri"/>
          <w:noProof/>
          <w:lang w:val="en-GB"/>
        </w:rPr>
        <w:t>growth rate of incorporations 20</w:t>
      </w:r>
      <w:r w:rsidR="00000A0F" w:rsidRPr="003E553E">
        <w:rPr>
          <w:rFonts w:ascii="Calibri" w:eastAsia="Times New Roman" w:hAnsi="Calibri" w:cs="Calibri"/>
          <w:noProof/>
          <w:lang w:val="en-GB"/>
        </w:rPr>
        <w:t>20</w:t>
      </w:r>
      <w:r w:rsidR="00331AC3" w:rsidRPr="003E553E">
        <w:rPr>
          <w:rFonts w:ascii="Calibri" w:eastAsia="Times New Roman" w:hAnsi="Calibri" w:cs="Calibri"/>
          <w:noProof/>
          <w:lang w:val="en-GB"/>
        </w:rPr>
        <w:t>-202</w:t>
      </w:r>
      <w:r w:rsidR="00000A0F" w:rsidRPr="003E553E">
        <w:rPr>
          <w:rFonts w:ascii="Calibri" w:eastAsia="Times New Roman" w:hAnsi="Calibri" w:cs="Calibri"/>
          <w:noProof/>
          <w:lang w:val="en-GB"/>
        </w:rPr>
        <w:t>1</w:t>
      </w:r>
      <w:r w:rsidR="00331AC3" w:rsidRPr="003E553E">
        <w:rPr>
          <w:rFonts w:ascii="Calibri" w:eastAsia="Times New Roman" w:hAnsi="Calibri" w:cs="Calibri"/>
          <w:noProof/>
          <w:lang w:val="en-GB"/>
        </w:rPr>
        <w:t xml:space="preserve"> compared to 20</w:t>
      </w:r>
      <w:r w:rsidR="00000A0F" w:rsidRPr="003E553E">
        <w:rPr>
          <w:rFonts w:ascii="Calibri" w:eastAsia="Times New Roman" w:hAnsi="Calibri" w:cs="Calibri"/>
          <w:noProof/>
          <w:lang w:val="en-GB"/>
        </w:rPr>
        <w:t>19</w:t>
      </w:r>
      <w:r w:rsidR="00331AC3" w:rsidRPr="003E553E">
        <w:rPr>
          <w:rFonts w:ascii="Calibri" w:eastAsia="Times New Roman" w:hAnsi="Calibri" w:cs="Calibri"/>
          <w:noProof/>
          <w:lang w:val="en-GB"/>
        </w:rPr>
        <w:t>-20</w:t>
      </w:r>
      <w:r w:rsidR="00000A0F" w:rsidRPr="003E553E">
        <w:rPr>
          <w:rFonts w:ascii="Calibri" w:eastAsia="Times New Roman" w:hAnsi="Calibri" w:cs="Calibri"/>
          <w:noProof/>
          <w:lang w:val="en-GB"/>
        </w:rPr>
        <w:t>20</w:t>
      </w:r>
      <w:r w:rsidR="00331AC3" w:rsidRPr="003E553E">
        <w:rPr>
          <w:rFonts w:ascii="Calibri" w:eastAsia="Times New Roman" w:hAnsi="Calibri" w:cs="Calibri"/>
          <w:noProof/>
          <w:lang w:val="en-GB"/>
        </w:rPr>
        <w:t xml:space="preserve"> only in jurisdictions in transition</w:t>
      </w:r>
      <w:r w:rsidR="003579D2">
        <w:rPr>
          <w:rFonts w:ascii="Calibri" w:eastAsia="Times New Roman" w:hAnsi="Calibri" w:cs="Calibri"/>
          <w:noProof/>
          <w:lang w:val="en-GB"/>
        </w:rPr>
        <w:t xml:space="preserve"> (-11.24%)</w:t>
      </w:r>
      <w:r w:rsidR="00331AC3" w:rsidRPr="003E553E">
        <w:rPr>
          <w:rFonts w:ascii="Calibri" w:eastAsia="Times New Roman" w:hAnsi="Calibri" w:cs="Calibri"/>
          <w:noProof/>
          <w:lang w:val="en-GB"/>
        </w:rPr>
        <w:t>.</w:t>
      </w:r>
    </w:p>
    <w:p w14:paraId="605452A1" w14:textId="77777777" w:rsidR="00F02355" w:rsidRPr="00F02355" w:rsidRDefault="00F02355" w:rsidP="00F02355">
      <w:pPr>
        <w:pStyle w:val="ListParagraph"/>
        <w:spacing w:before="240" w:after="120" w:line="360" w:lineRule="auto"/>
        <w:ind w:left="284"/>
        <w:jc w:val="both"/>
        <w:rPr>
          <w:rFonts w:ascii="Calibri" w:eastAsia="Times New Roman" w:hAnsi="Calibri" w:cs="Calibri"/>
          <w:noProof/>
          <w:lang w:val="en-GB"/>
        </w:rPr>
      </w:pPr>
    </w:p>
    <w:p w14:paraId="5C3B566F" w14:textId="21AF06F3" w:rsidR="00F02355" w:rsidRPr="00F02355" w:rsidRDefault="0036346B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>Increase in new incorporations (20</w:t>
      </w:r>
      <w:r w:rsidR="00000A0F" w:rsidRPr="003E553E">
        <w:rPr>
          <w:rFonts w:ascii="Calibri" w:eastAsia="Times New Roman" w:hAnsi="Calibri" w:cs="Calibri"/>
          <w:noProof/>
          <w:lang w:val="en-GB"/>
        </w:rPr>
        <w:t>20</w:t>
      </w:r>
      <w:r w:rsidRPr="003E553E">
        <w:rPr>
          <w:rFonts w:ascii="Calibri" w:eastAsia="Times New Roman" w:hAnsi="Calibri" w:cs="Calibri"/>
          <w:noProof/>
          <w:lang w:val="en-GB"/>
        </w:rPr>
        <w:t>-202</w:t>
      </w:r>
      <w:r w:rsidR="00000A0F" w:rsidRPr="003E553E">
        <w:rPr>
          <w:rFonts w:ascii="Calibri" w:eastAsia="Times New Roman" w:hAnsi="Calibri" w:cs="Calibri"/>
          <w:noProof/>
          <w:lang w:val="en-GB"/>
        </w:rPr>
        <w:t>1</w:t>
      </w:r>
      <w:r w:rsidRPr="003E553E">
        <w:rPr>
          <w:rFonts w:ascii="Calibri" w:eastAsia="Times New Roman" w:hAnsi="Calibri" w:cs="Calibri"/>
          <w:noProof/>
          <w:lang w:val="en-GB"/>
        </w:rPr>
        <w:t xml:space="preserve">) of </w:t>
      </w:r>
      <w:r w:rsidR="00D23776">
        <w:rPr>
          <w:rFonts w:ascii="Calibri" w:eastAsia="Times New Roman" w:hAnsi="Calibri" w:cs="Calibri"/>
          <w:noProof/>
          <w:lang w:val="en-GB"/>
        </w:rPr>
        <w:t>10.79%</w:t>
      </w:r>
      <w:r w:rsidRPr="003E553E">
        <w:rPr>
          <w:rFonts w:ascii="Calibri" w:eastAsia="Times New Roman" w:hAnsi="Calibri" w:cs="Calibri"/>
          <w:noProof/>
          <w:lang w:val="en-GB"/>
        </w:rPr>
        <w:t xml:space="preserve">% in developed jurisdictions, </w:t>
      </w:r>
      <w:r w:rsidR="00D30547" w:rsidRPr="003E553E">
        <w:rPr>
          <w:rFonts w:ascii="Calibri" w:eastAsia="Times New Roman" w:hAnsi="Calibri" w:cs="Calibri"/>
          <w:noProof/>
          <w:lang w:val="en-GB"/>
        </w:rPr>
        <w:t>18</w:t>
      </w:r>
      <w:r w:rsidR="00D23776">
        <w:rPr>
          <w:rFonts w:ascii="Calibri" w:eastAsia="Times New Roman" w:hAnsi="Calibri" w:cs="Calibri"/>
          <w:noProof/>
          <w:lang w:val="en-GB"/>
        </w:rPr>
        <w:t>.03</w:t>
      </w:r>
      <w:r w:rsidRPr="003E553E">
        <w:rPr>
          <w:rFonts w:ascii="Calibri" w:eastAsia="Times New Roman" w:hAnsi="Calibri" w:cs="Calibri"/>
          <w:noProof/>
          <w:lang w:val="en-GB"/>
        </w:rPr>
        <w:t xml:space="preserve">% in developing jurisdictions </w:t>
      </w:r>
      <w:r w:rsidR="00000A0F" w:rsidRPr="003E553E">
        <w:rPr>
          <w:rFonts w:ascii="Calibri" w:eastAsia="Times New Roman" w:hAnsi="Calibri" w:cs="Calibri"/>
          <w:noProof/>
          <w:lang w:val="en-GB"/>
        </w:rPr>
        <w:t>but decrease of</w:t>
      </w:r>
      <w:r w:rsidRPr="007A2512">
        <w:rPr>
          <w:rFonts w:ascii="Calibri" w:eastAsia="Times New Roman" w:hAnsi="Calibri" w:cs="Calibri"/>
          <w:noProof/>
          <w:lang w:val="en-GB"/>
        </w:rPr>
        <w:t xml:space="preserve"> </w:t>
      </w:r>
      <w:r w:rsidR="0090307A">
        <w:rPr>
          <w:rFonts w:ascii="Calibri" w:eastAsia="Times New Roman" w:hAnsi="Calibri" w:cs="Calibri"/>
          <w:noProof/>
          <w:lang w:val="en-GB"/>
        </w:rPr>
        <w:t>11.24</w:t>
      </w:r>
      <w:r w:rsidRPr="007A2512">
        <w:rPr>
          <w:rFonts w:ascii="Calibri" w:eastAsia="Times New Roman" w:hAnsi="Calibri" w:cs="Calibri"/>
          <w:noProof/>
          <w:lang w:val="en-GB"/>
        </w:rPr>
        <w:t>% in jurisdictions in transition</w:t>
      </w:r>
      <w:r w:rsidR="00331AC3" w:rsidRPr="007A2512">
        <w:rPr>
          <w:rFonts w:ascii="Calibri" w:eastAsia="Times New Roman" w:hAnsi="Calibri" w:cs="Calibri"/>
          <w:noProof/>
          <w:lang w:val="en-GB"/>
        </w:rPr>
        <w:t>.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03511EAC" w14:textId="52AA6BF9" w:rsidR="00331AC3" w:rsidRPr="003E553E" w:rsidRDefault="00331AC3" w:rsidP="00F02355">
      <w:pPr>
        <w:pStyle w:val="ListParagraph"/>
        <w:numPr>
          <w:ilvl w:val="0"/>
          <w:numId w:val="3"/>
        </w:numPr>
        <w:spacing w:before="240" w:after="120" w:line="360" w:lineRule="auto"/>
        <w:ind w:left="283" w:hanging="357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>New incorporations have also been rising regardless of geographical region</w:t>
      </w:r>
      <w:r w:rsidR="0036244E" w:rsidRPr="003E553E">
        <w:rPr>
          <w:rFonts w:ascii="Calibri" w:eastAsia="Times New Roman" w:hAnsi="Calibri" w:cs="Calibri"/>
          <w:noProof/>
          <w:lang w:val="en-GB"/>
        </w:rPr>
        <w:t xml:space="preserve">, except for </w:t>
      </w:r>
      <w:r w:rsidR="00E8293D">
        <w:rPr>
          <w:rFonts w:ascii="Calibri" w:eastAsia="Times New Roman" w:hAnsi="Calibri" w:cs="Calibri"/>
          <w:noProof/>
          <w:lang w:val="en-GB"/>
        </w:rPr>
        <w:t>Asia</w:t>
      </w:r>
      <w:r w:rsidR="0036244E" w:rsidRPr="003E553E">
        <w:rPr>
          <w:rFonts w:ascii="Calibri" w:eastAsia="Times New Roman" w:hAnsi="Calibri" w:cs="Calibri"/>
          <w:noProof/>
          <w:lang w:val="en-GB"/>
        </w:rPr>
        <w:t xml:space="preserve"> were new incorporation have been decreasing.</w:t>
      </w:r>
      <w:r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5A126488" w14:textId="3E9E3183" w:rsidR="006236FD" w:rsidRPr="003E553E" w:rsidRDefault="00D52861" w:rsidP="008625E5">
      <w:pPr>
        <w:pStyle w:val="ListParagraph"/>
        <w:numPr>
          <w:ilvl w:val="0"/>
          <w:numId w:val="3"/>
        </w:numPr>
        <w:spacing w:before="240" w:after="120" w:line="360" w:lineRule="auto"/>
        <w:ind w:left="284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 xml:space="preserve">In responses from </w:t>
      </w:r>
      <w:r w:rsidR="00B82DE1">
        <w:rPr>
          <w:rFonts w:ascii="Calibri" w:eastAsia="Times New Roman" w:hAnsi="Calibri" w:cs="Calibri"/>
          <w:noProof/>
          <w:lang w:val="en-GB"/>
        </w:rPr>
        <w:t xml:space="preserve">North American </w:t>
      </w:r>
      <w:r w:rsidR="00573600">
        <w:rPr>
          <w:rFonts w:ascii="Calibri" w:eastAsia="Times New Roman" w:hAnsi="Calibri" w:cs="Calibri"/>
          <w:noProof/>
          <w:lang w:val="en-GB"/>
        </w:rPr>
        <w:t>jurisdictionas there is an incrase of incorporations of all types of entiti</w:t>
      </w:r>
      <w:r w:rsidR="00F9163F">
        <w:rPr>
          <w:rFonts w:ascii="Calibri" w:eastAsia="Times New Roman" w:hAnsi="Calibri" w:cs="Calibri"/>
          <w:noProof/>
          <w:lang w:val="en-GB"/>
        </w:rPr>
        <w:t xml:space="preserve">es aside from General Partnership where there is a slight decrease. </w:t>
      </w:r>
      <w:r w:rsidR="00B449F1">
        <w:rPr>
          <w:rFonts w:ascii="Calibri" w:eastAsia="Times New Roman" w:hAnsi="Calibri" w:cs="Calibri"/>
          <w:noProof/>
          <w:lang w:val="en-GB"/>
        </w:rPr>
        <w:t xml:space="preserve">South American jurisdictions have reported significant increase of incorporations of </w:t>
      </w:r>
      <w:r w:rsidR="008A14B4">
        <w:rPr>
          <w:rFonts w:ascii="Calibri" w:eastAsia="Times New Roman" w:hAnsi="Calibri" w:cs="Calibri"/>
          <w:noProof/>
          <w:lang w:val="en-GB"/>
        </w:rPr>
        <w:t xml:space="preserve">LLC’s, and a significant decrease of incorporations of Private Limited Companies. </w:t>
      </w:r>
      <w:r w:rsidR="001A55FA">
        <w:rPr>
          <w:rFonts w:ascii="Calibri" w:eastAsia="Times New Roman" w:hAnsi="Calibri" w:cs="Calibri"/>
          <w:noProof/>
          <w:lang w:val="en-GB"/>
        </w:rPr>
        <w:t xml:space="preserve">European </w:t>
      </w:r>
      <w:r w:rsidR="00A91C69">
        <w:rPr>
          <w:rFonts w:ascii="Calibri" w:eastAsia="Times New Roman" w:hAnsi="Calibri" w:cs="Calibri"/>
          <w:noProof/>
          <w:lang w:val="en-GB"/>
        </w:rPr>
        <w:t>jurisdiction have reported slight increase of all organizational types in 2021</w:t>
      </w:r>
      <w:r w:rsidR="0056376C">
        <w:rPr>
          <w:rFonts w:ascii="Calibri" w:eastAsia="Times New Roman" w:hAnsi="Calibri" w:cs="Calibri"/>
          <w:noProof/>
          <w:lang w:val="en-GB"/>
        </w:rPr>
        <w:t xml:space="preserve">. </w:t>
      </w:r>
      <w:r w:rsidR="00AB0413">
        <w:rPr>
          <w:rFonts w:ascii="Calibri" w:eastAsia="Times New Roman" w:hAnsi="Calibri" w:cs="Calibri"/>
          <w:noProof/>
          <w:lang w:val="en-GB"/>
        </w:rPr>
        <w:t xml:space="preserve">In Oceania the trend was stable with slight </w:t>
      </w:r>
      <w:r w:rsidR="0080245B">
        <w:rPr>
          <w:rFonts w:ascii="Calibri" w:eastAsia="Times New Roman" w:hAnsi="Calibri" w:cs="Calibri"/>
          <w:noProof/>
          <w:lang w:val="en-GB"/>
        </w:rPr>
        <w:t xml:space="preserve">decrease of incorporations of General Partnerships and slight increase of incorporations of Limited Companies. 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2A974E68" w14:textId="55DE31F3" w:rsidR="008625E5" w:rsidRPr="003E553E" w:rsidRDefault="008625E5" w:rsidP="007D378D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3E553E">
        <w:rPr>
          <w:lang w:val="en-GB"/>
        </w:rPr>
        <w:t xml:space="preserve">However, in Europe </w:t>
      </w:r>
      <w:r w:rsidR="005B09FD">
        <w:rPr>
          <w:lang w:val="en-GB"/>
        </w:rPr>
        <w:t>there is</w:t>
      </w:r>
      <w:r w:rsidRPr="003E553E">
        <w:rPr>
          <w:lang w:val="en-GB"/>
        </w:rPr>
        <w:t xml:space="preserve"> a lower growth rate for 2019-2020 (1.24%) compared to 2018-2019 (6.67%).</w:t>
      </w:r>
      <w:r w:rsidR="00F02355">
        <w:rPr>
          <w:lang w:val="en-GB"/>
        </w:rPr>
        <w:br/>
      </w:r>
    </w:p>
    <w:p w14:paraId="09A7AA80" w14:textId="482F1C6E" w:rsidR="007D378D" w:rsidRPr="003E553E" w:rsidRDefault="0036346B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t xml:space="preserve">The number of incorporations per 1000 inhabitants has been rising </w:t>
      </w:r>
      <w:r w:rsidR="00D26286" w:rsidRPr="003E553E">
        <w:rPr>
          <w:rFonts w:ascii="Calibri" w:eastAsia="Times New Roman" w:hAnsi="Calibri" w:cs="Calibri"/>
          <w:noProof/>
          <w:lang w:val="en-GB"/>
        </w:rPr>
        <w:t>in</w:t>
      </w:r>
      <w:r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="00DD09C7">
        <w:rPr>
          <w:rFonts w:ascii="Calibri" w:eastAsia="Times New Roman" w:hAnsi="Calibri" w:cs="Calibri"/>
          <w:noProof/>
          <w:lang w:val="en-GB"/>
        </w:rPr>
        <w:t xml:space="preserve">developed and </w:t>
      </w:r>
      <w:r w:rsidR="00D26286" w:rsidRPr="003E553E">
        <w:rPr>
          <w:rFonts w:ascii="Calibri" w:eastAsia="Times New Roman" w:hAnsi="Calibri" w:cs="Calibri"/>
          <w:noProof/>
          <w:lang w:val="en-GB"/>
        </w:rPr>
        <w:t xml:space="preserve">developing </w:t>
      </w:r>
      <w:r w:rsidRPr="003E553E">
        <w:rPr>
          <w:rFonts w:ascii="Calibri" w:eastAsia="Times New Roman" w:hAnsi="Calibri" w:cs="Calibri"/>
          <w:noProof/>
          <w:lang w:val="en-GB"/>
        </w:rPr>
        <w:t xml:space="preserve">jurisdictions, but not in </w:t>
      </w:r>
      <w:r w:rsidR="00D26286" w:rsidRPr="003E553E">
        <w:rPr>
          <w:rFonts w:ascii="Calibri" w:eastAsia="Times New Roman" w:hAnsi="Calibri" w:cs="Calibri"/>
          <w:noProof/>
          <w:lang w:val="en-GB"/>
        </w:rPr>
        <w:t>transition</w:t>
      </w:r>
      <w:r w:rsidRPr="003E553E">
        <w:rPr>
          <w:rFonts w:ascii="Calibri" w:eastAsia="Times New Roman" w:hAnsi="Calibri" w:cs="Calibri"/>
          <w:noProof/>
          <w:lang w:val="en-GB"/>
        </w:rPr>
        <w:t xml:space="preserve"> jurisdictions.</w:t>
      </w:r>
      <w:r w:rsidR="00F02355">
        <w:rPr>
          <w:rFonts w:ascii="Calibri" w:eastAsia="Times New Roman" w:hAnsi="Calibri" w:cs="Calibri"/>
          <w:noProof/>
          <w:lang w:val="en-GB"/>
        </w:rPr>
        <w:br/>
      </w:r>
    </w:p>
    <w:p w14:paraId="17F5A2A1" w14:textId="52628A0B" w:rsidR="00EF1CCE" w:rsidRPr="003E553E" w:rsidRDefault="00B47B2E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rFonts w:ascii="Calibri" w:eastAsia="Times New Roman" w:hAnsi="Calibri" w:cs="Calibri"/>
          <w:noProof/>
          <w:lang w:val="en-GB"/>
        </w:rPr>
      </w:pPr>
      <w:r>
        <w:rPr>
          <w:lang w:val="en-GB"/>
        </w:rPr>
        <w:t>T</w:t>
      </w:r>
      <w:r w:rsidR="00EF1CCE" w:rsidRPr="003E553E">
        <w:rPr>
          <w:lang w:val="en-GB"/>
        </w:rPr>
        <w:t xml:space="preserve">he responses from </w:t>
      </w:r>
      <w:r w:rsidR="00D26286" w:rsidRPr="003E553E">
        <w:rPr>
          <w:lang w:val="en-GB"/>
        </w:rPr>
        <w:t xml:space="preserve">Asian, North and </w:t>
      </w:r>
      <w:r w:rsidR="00F1757B">
        <w:rPr>
          <w:lang w:val="en-GB"/>
        </w:rPr>
        <w:t xml:space="preserve">South </w:t>
      </w:r>
      <w:r w:rsidR="00D26286" w:rsidRPr="003E553E">
        <w:rPr>
          <w:lang w:val="en-GB"/>
        </w:rPr>
        <w:t xml:space="preserve">American and Oceanian </w:t>
      </w:r>
      <w:r w:rsidR="007D378D" w:rsidRPr="003E553E">
        <w:rPr>
          <w:lang w:val="en-GB"/>
        </w:rPr>
        <w:t>registries,</w:t>
      </w:r>
      <w:r w:rsidR="00EF1CCE" w:rsidRPr="003E553E">
        <w:rPr>
          <w:lang w:val="en-GB"/>
        </w:rPr>
        <w:t xml:space="preserve"> </w:t>
      </w:r>
      <w:r>
        <w:rPr>
          <w:lang w:val="en-GB"/>
        </w:rPr>
        <w:t>sh</w:t>
      </w:r>
      <w:r w:rsidR="004D0614">
        <w:rPr>
          <w:lang w:val="en-GB"/>
        </w:rPr>
        <w:t>o</w:t>
      </w:r>
      <w:r>
        <w:rPr>
          <w:lang w:val="en-GB"/>
        </w:rPr>
        <w:t>w</w:t>
      </w:r>
      <w:r w:rsidR="00EF1CCE" w:rsidRPr="003E553E">
        <w:rPr>
          <w:lang w:val="en-GB"/>
        </w:rPr>
        <w:t xml:space="preserve"> </w:t>
      </w:r>
      <w:r w:rsidR="00BC2849">
        <w:rPr>
          <w:lang w:val="en-GB"/>
        </w:rPr>
        <w:t>1.41</w:t>
      </w:r>
      <w:proofErr w:type="gramStart"/>
      <w:r w:rsidR="00D26286" w:rsidRPr="003E553E">
        <w:rPr>
          <w:lang w:val="en-GB"/>
        </w:rPr>
        <w:t>,  8.</w:t>
      </w:r>
      <w:r w:rsidR="00F1757B">
        <w:rPr>
          <w:lang w:val="en-GB"/>
        </w:rPr>
        <w:t>70</w:t>
      </w:r>
      <w:proofErr w:type="gramEnd"/>
      <w:r w:rsidR="00D26286" w:rsidRPr="003E553E">
        <w:rPr>
          <w:lang w:val="en-GB"/>
        </w:rPr>
        <w:t xml:space="preserve">, </w:t>
      </w:r>
      <w:r w:rsidR="00F1757B">
        <w:rPr>
          <w:lang w:val="en-GB"/>
        </w:rPr>
        <w:t>3.64</w:t>
      </w:r>
      <w:r w:rsidR="006907ED" w:rsidRPr="003E553E">
        <w:rPr>
          <w:lang w:val="en-GB"/>
        </w:rPr>
        <w:t xml:space="preserve">, </w:t>
      </w:r>
      <w:r w:rsidR="008C5A7D">
        <w:rPr>
          <w:lang w:val="en-GB"/>
        </w:rPr>
        <w:t>22.79</w:t>
      </w:r>
      <w:r w:rsidR="00D30547" w:rsidRPr="003E553E">
        <w:rPr>
          <w:lang w:val="en-GB"/>
        </w:rPr>
        <w:t xml:space="preserve"> respectively</w:t>
      </w:r>
      <w:r w:rsidR="006907ED" w:rsidRPr="003E553E">
        <w:rPr>
          <w:lang w:val="en-GB"/>
        </w:rPr>
        <w:t xml:space="preserve"> </w:t>
      </w:r>
      <w:r w:rsidR="00EF1CCE" w:rsidRPr="003E553E">
        <w:rPr>
          <w:lang w:val="en-GB"/>
        </w:rPr>
        <w:t xml:space="preserve"> new incorporations per 1000 inhabitant.</w:t>
      </w:r>
      <w:r w:rsidR="00F02355">
        <w:rPr>
          <w:lang w:val="en-GB"/>
        </w:rPr>
        <w:br/>
      </w:r>
    </w:p>
    <w:p w14:paraId="456CB934" w14:textId="314FD71B" w:rsidR="00953683" w:rsidRPr="003E553E" w:rsidRDefault="006236FD" w:rsidP="00431944">
      <w:pPr>
        <w:pStyle w:val="ListParagraph"/>
        <w:numPr>
          <w:ilvl w:val="0"/>
          <w:numId w:val="3"/>
        </w:numPr>
        <w:spacing w:before="240" w:after="120" w:line="360" w:lineRule="auto"/>
        <w:ind w:left="283" w:hanging="357"/>
        <w:jc w:val="both"/>
        <w:rPr>
          <w:rFonts w:ascii="Calibri" w:eastAsia="Times New Roman" w:hAnsi="Calibri" w:cs="Calibri"/>
          <w:noProof/>
          <w:lang w:val="en-GB"/>
        </w:rPr>
      </w:pPr>
      <w:r w:rsidRPr="003E553E">
        <w:rPr>
          <w:rFonts w:ascii="Calibri" w:eastAsia="Times New Roman" w:hAnsi="Calibri" w:cs="Calibri"/>
          <w:noProof/>
          <w:lang w:val="en-GB"/>
        </w:rPr>
        <w:lastRenderedPageBreak/>
        <w:t>The ratio i</w:t>
      </w:r>
      <w:r w:rsidR="00953683" w:rsidRPr="003E553E">
        <w:rPr>
          <w:rFonts w:ascii="Calibri" w:eastAsia="Times New Roman" w:hAnsi="Calibri" w:cs="Calibri"/>
          <w:noProof/>
          <w:lang w:val="en-GB"/>
        </w:rPr>
        <w:t>ncorporations/registered companies has been</w:t>
      </w:r>
      <w:r w:rsidRPr="003E553E">
        <w:rPr>
          <w:rFonts w:ascii="Calibri" w:eastAsia="Times New Roman" w:hAnsi="Calibri" w:cs="Calibri"/>
          <w:noProof/>
          <w:lang w:val="en-GB"/>
        </w:rPr>
        <w:t xml:space="preserve"> pretty</w:t>
      </w:r>
      <w:r w:rsidR="00953683"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Pr="003E553E">
        <w:rPr>
          <w:rFonts w:ascii="Calibri" w:eastAsia="Times New Roman" w:hAnsi="Calibri" w:cs="Calibri"/>
          <w:noProof/>
          <w:lang w:val="en-GB"/>
        </w:rPr>
        <w:t>steady</w:t>
      </w:r>
      <w:r w:rsidR="00953683" w:rsidRPr="003E553E">
        <w:rPr>
          <w:rFonts w:ascii="Calibri" w:eastAsia="Times New Roman" w:hAnsi="Calibri" w:cs="Calibri"/>
          <w:noProof/>
          <w:lang w:val="en-GB"/>
        </w:rPr>
        <w:t xml:space="preserve"> in 2018-202</w:t>
      </w:r>
      <w:r w:rsidR="006907ED" w:rsidRPr="003E553E">
        <w:rPr>
          <w:rFonts w:ascii="Calibri" w:eastAsia="Times New Roman" w:hAnsi="Calibri" w:cs="Calibri"/>
          <w:noProof/>
          <w:lang w:val="en-GB"/>
        </w:rPr>
        <w:t>1</w:t>
      </w:r>
      <w:r w:rsidR="00651B63" w:rsidRPr="003E553E">
        <w:rPr>
          <w:rFonts w:ascii="Calibri" w:eastAsia="Times New Roman" w:hAnsi="Calibri" w:cs="Calibri"/>
          <w:noProof/>
          <w:lang w:val="en-GB"/>
        </w:rPr>
        <w:t xml:space="preserve"> </w:t>
      </w:r>
      <w:r w:rsidRPr="003E553E">
        <w:rPr>
          <w:rFonts w:ascii="Calibri" w:eastAsia="Times New Roman" w:hAnsi="Calibri" w:cs="Calibri"/>
          <w:noProof/>
          <w:lang w:val="en-GB"/>
        </w:rPr>
        <w:t>regardless of development status</w:t>
      </w:r>
      <w:r w:rsidR="00651B63" w:rsidRPr="003E553E">
        <w:rPr>
          <w:rFonts w:ascii="Calibri" w:eastAsia="Times New Roman" w:hAnsi="Calibri" w:cs="Calibri"/>
          <w:noProof/>
          <w:lang w:val="en-GB"/>
        </w:rPr>
        <w:t>.</w:t>
      </w:r>
      <w:r w:rsidR="00EF1CCE" w:rsidRPr="003E553E">
        <w:rPr>
          <w:rFonts w:ascii="Calibri" w:eastAsia="Times New Roman" w:hAnsi="Calibri" w:cs="Calibri"/>
          <w:noProof/>
          <w:lang w:val="en-GB"/>
        </w:rPr>
        <w:t xml:space="preserve"> For the European jurisdictions </w:t>
      </w:r>
      <w:r w:rsidR="007A6F6F">
        <w:rPr>
          <w:rFonts w:ascii="Calibri" w:eastAsia="Times New Roman" w:hAnsi="Calibri" w:cs="Calibri"/>
          <w:noProof/>
          <w:lang w:val="en-GB"/>
        </w:rPr>
        <w:t>there is</w:t>
      </w:r>
      <w:r w:rsidR="00EF1CCE" w:rsidRPr="003E553E">
        <w:rPr>
          <w:rFonts w:ascii="Calibri" w:eastAsia="Times New Roman" w:hAnsi="Calibri" w:cs="Calibri"/>
          <w:noProof/>
          <w:lang w:val="en-GB"/>
        </w:rPr>
        <w:t xml:space="preserve"> a steady ratio of 0.</w:t>
      </w:r>
      <w:r w:rsidR="00603B06">
        <w:rPr>
          <w:rFonts w:ascii="Calibri" w:eastAsia="Times New Roman" w:hAnsi="Calibri" w:cs="Calibri"/>
          <w:noProof/>
          <w:lang w:val="en-GB"/>
        </w:rPr>
        <w:t>08</w:t>
      </w:r>
      <w:r w:rsidR="00EF1CCE" w:rsidRPr="003E553E">
        <w:rPr>
          <w:rFonts w:ascii="Calibri" w:eastAsia="Times New Roman" w:hAnsi="Calibri" w:cs="Calibri"/>
          <w:noProof/>
          <w:lang w:val="en-GB"/>
        </w:rPr>
        <w:t xml:space="preserve"> in the entire period.</w:t>
      </w:r>
    </w:p>
    <w:p w14:paraId="17965C7B" w14:textId="082D2598" w:rsidR="00431944" w:rsidRPr="003E553E" w:rsidRDefault="00F90B8B" w:rsidP="00F90B8B">
      <w:pPr>
        <w:pStyle w:val="Heading1"/>
        <w:spacing w:before="360" w:after="240" w:line="276" w:lineRule="auto"/>
        <w:rPr>
          <w:i/>
          <w:iCs/>
          <w:noProof/>
          <w:sz w:val="28"/>
          <w:szCs w:val="28"/>
          <w:lang w:val="en-GB"/>
        </w:rPr>
      </w:pPr>
      <w:r w:rsidRPr="003E553E">
        <w:rPr>
          <w:i/>
          <w:iCs/>
          <w:noProof/>
          <w:sz w:val="28"/>
          <w:szCs w:val="28"/>
          <w:lang w:val="en-GB"/>
        </w:rPr>
        <w:t>Terminations</w:t>
      </w:r>
    </w:p>
    <w:p w14:paraId="7E66A948" w14:textId="7D08CFC3" w:rsidR="00D30547" w:rsidRPr="003E553E" w:rsidRDefault="00482AD8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lang w:val="en-GB"/>
        </w:rPr>
      </w:pPr>
      <w:r w:rsidRPr="003E553E">
        <w:rPr>
          <w:lang w:val="en-GB"/>
        </w:rPr>
        <w:t>Regarding terminations</w:t>
      </w:r>
      <w:r w:rsidR="00B112FC" w:rsidRPr="003E553E">
        <w:rPr>
          <w:lang w:val="en-GB"/>
        </w:rPr>
        <w:t xml:space="preserve">, </w:t>
      </w:r>
      <w:r w:rsidR="00D30547" w:rsidRPr="003E553E">
        <w:rPr>
          <w:lang w:val="en-GB"/>
        </w:rPr>
        <w:t xml:space="preserve">regardless of the development status </w:t>
      </w:r>
      <w:r w:rsidR="000D0FDA">
        <w:rPr>
          <w:lang w:val="en-GB"/>
        </w:rPr>
        <w:t>there is</w:t>
      </w:r>
      <w:r w:rsidR="00D30547" w:rsidRPr="003E553E">
        <w:rPr>
          <w:lang w:val="en-GB"/>
        </w:rPr>
        <w:t xml:space="preserve"> an increase in 202</w:t>
      </w:r>
      <w:r w:rsidR="00913989">
        <w:rPr>
          <w:lang w:val="en-GB"/>
        </w:rPr>
        <w:t>1</w:t>
      </w:r>
      <w:r w:rsidR="00D30547" w:rsidRPr="003E553E">
        <w:rPr>
          <w:lang w:val="en-GB"/>
        </w:rPr>
        <w:t xml:space="preserve"> compared to 202</w:t>
      </w:r>
      <w:r w:rsidR="00913989">
        <w:rPr>
          <w:lang w:val="en-GB"/>
        </w:rPr>
        <w:t>0</w:t>
      </w:r>
      <w:r w:rsidR="00521658">
        <w:rPr>
          <w:lang w:val="en-GB"/>
        </w:rPr>
        <w:t xml:space="preserve">, with notable increase in developed </w:t>
      </w:r>
      <w:r w:rsidR="009E67F6">
        <w:rPr>
          <w:lang w:val="en-GB"/>
        </w:rPr>
        <w:t>jurisdictions.</w:t>
      </w:r>
      <w:r w:rsidR="00F02355">
        <w:rPr>
          <w:lang w:val="en-GB"/>
        </w:rPr>
        <w:br/>
      </w:r>
    </w:p>
    <w:p w14:paraId="43791DC0" w14:textId="561771D0" w:rsidR="00482AD8" w:rsidRPr="003E553E" w:rsidRDefault="00D30547" w:rsidP="00D30547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 w:rsidRPr="003E553E">
        <w:rPr>
          <w:lang w:val="en-GB"/>
        </w:rPr>
        <w:t xml:space="preserve">The proportion per 1000 inhabitants </w:t>
      </w:r>
      <w:r w:rsidR="00142686">
        <w:rPr>
          <w:lang w:val="en-GB"/>
        </w:rPr>
        <w:t>sligh</w:t>
      </w:r>
      <w:r w:rsidR="00F955EB">
        <w:rPr>
          <w:lang w:val="en-GB"/>
        </w:rPr>
        <w:t>t increase is observed</w:t>
      </w:r>
      <w:r w:rsidRPr="003E553E">
        <w:rPr>
          <w:lang w:val="en-GB"/>
        </w:rPr>
        <w:t xml:space="preserve"> throughout the period regardless of the development status</w:t>
      </w:r>
      <w:r w:rsidR="00F955EB">
        <w:rPr>
          <w:lang w:val="en-GB"/>
        </w:rPr>
        <w:t xml:space="preserve">, with notable increase in 2021 in developed economies. </w:t>
      </w:r>
      <w:r w:rsidRPr="003E553E" w:rsidDel="00D30547">
        <w:rPr>
          <w:lang w:val="en-GB"/>
        </w:rPr>
        <w:t xml:space="preserve"> </w:t>
      </w:r>
      <w:r w:rsidR="00F02355">
        <w:rPr>
          <w:lang w:val="en-GB"/>
        </w:rPr>
        <w:br/>
      </w:r>
    </w:p>
    <w:p w14:paraId="462C0757" w14:textId="5C7609B5" w:rsidR="006427B6" w:rsidRPr="003E553E" w:rsidRDefault="000D0FDA" w:rsidP="00B112FC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>There are</w:t>
      </w:r>
      <w:r w:rsidR="00D03874" w:rsidRPr="003E553E">
        <w:rPr>
          <w:lang w:val="en-GB"/>
        </w:rPr>
        <w:t xml:space="preserve"> big</w:t>
      </w:r>
      <w:r w:rsidR="006427B6" w:rsidRPr="003E553E">
        <w:rPr>
          <w:lang w:val="en-GB"/>
        </w:rPr>
        <w:t xml:space="preserve"> difference</w:t>
      </w:r>
      <w:r w:rsidR="00D03874" w:rsidRPr="003E553E">
        <w:rPr>
          <w:lang w:val="en-GB"/>
        </w:rPr>
        <w:t>s</w:t>
      </w:r>
      <w:r w:rsidR="006427B6" w:rsidRPr="003E553E">
        <w:rPr>
          <w:lang w:val="en-GB"/>
        </w:rPr>
        <w:t xml:space="preserve"> in terminations per 1000 inhabitants among </w:t>
      </w:r>
      <w:r w:rsidR="00F435D1" w:rsidRPr="003E553E">
        <w:rPr>
          <w:lang w:val="en-GB"/>
        </w:rPr>
        <w:t>d</w:t>
      </w:r>
      <w:r w:rsidR="006427B6" w:rsidRPr="003E553E">
        <w:rPr>
          <w:lang w:val="en-GB"/>
        </w:rPr>
        <w:t xml:space="preserve">eveloping, developed and transition countries. While in </w:t>
      </w:r>
      <w:r w:rsidR="00B442A5" w:rsidRPr="003E553E">
        <w:rPr>
          <w:lang w:val="en-GB"/>
        </w:rPr>
        <w:t>developed</w:t>
      </w:r>
      <w:r w:rsidR="006427B6" w:rsidRPr="003E553E">
        <w:rPr>
          <w:lang w:val="en-GB"/>
        </w:rPr>
        <w:t xml:space="preserve"> </w:t>
      </w:r>
      <w:r w:rsidR="00C6650E" w:rsidRPr="003E553E">
        <w:rPr>
          <w:lang w:val="en-GB"/>
        </w:rPr>
        <w:t>c</w:t>
      </w:r>
      <w:r w:rsidR="006427B6" w:rsidRPr="003E553E">
        <w:rPr>
          <w:lang w:val="en-GB"/>
        </w:rPr>
        <w:t xml:space="preserve">ountries terminations are between 3 and </w:t>
      </w:r>
      <w:r w:rsidR="00AE01B2">
        <w:rPr>
          <w:lang w:val="en-GB"/>
        </w:rPr>
        <w:t>5</w:t>
      </w:r>
      <w:r w:rsidR="006427B6" w:rsidRPr="003E553E">
        <w:rPr>
          <w:lang w:val="en-GB"/>
        </w:rPr>
        <w:t xml:space="preserve"> per 1000 inhabitants, in transition countries </w:t>
      </w:r>
      <w:r w:rsidR="003A2E9C">
        <w:rPr>
          <w:lang w:val="en-GB"/>
        </w:rPr>
        <w:t>between 1 and 2</w:t>
      </w:r>
      <w:r w:rsidR="006427B6" w:rsidRPr="003E553E">
        <w:rPr>
          <w:lang w:val="en-GB"/>
        </w:rPr>
        <w:t xml:space="preserve">, and in developing countries </w:t>
      </w:r>
      <w:r w:rsidR="004C3CBE">
        <w:rPr>
          <w:lang w:val="en-GB"/>
        </w:rPr>
        <w:t xml:space="preserve">below 1 in </w:t>
      </w:r>
      <w:r w:rsidR="00F435D1" w:rsidRPr="003E553E">
        <w:rPr>
          <w:lang w:val="en-GB"/>
        </w:rPr>
        <w:t>four</w:t>
      </w:r>
      <w:r w:rsidR="006427B6" w:rsidRPr="003E553E">
        <w:rPr>
          <w:lang w:val="en-GB"/>
        </w:rPr>
        <w:t xml:space="preserve"> years.</w:t>
      </w:r>
      <w:r w:rsidR="00F02355">
        <w:rPr>
          <w:lang w:val="en-GB"/>
        </w:rPr>
        <w:br/>
      </w:r>
    </w:p>
    <w:p w14:paraId="602F910A" w14:textId="375F5A18" w:rsidR="006427B6" w:rsidRPr="003E553E" w:rsidRDefault="006427B6" w:rsidP="00C6650E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 w:rsidRPr="003E553E">
        <w:rPr>
          <w:lang w:val="en-GB"/>
        </w:rPr>
        <w:t xml:space="preserve">The proportion between terminations and incorporations is also higher in developed countries, over </w:t>
      </w:r>
      <w:r w:rsidR="005077BC">
        <w:rPr>
          <w:lang w:val="en-GB"/>
        </w:rPr>
        <w:t>6</w:t>
      </w:r>
      <w:r w:rsidRPr="003E553E">
        <w:rPr>
          <w:lang w:val="en-GB"/>
        </w:rPr>
        <w:t xml:space="preserve">5%, followed by </w:t>
      </w:r>
      <w:r w:rsidR="00B442A5" w:rsidRPr="003E553E">
        <w:rPr>
          <w:lang w:val="en-GB"/>
        </w:rPr>
        <w:t>developing</w:t>
      </w:r>
      <w:r w:rsidRPr="003E553E">
        <w:rPr>
          <w:lang w:val="en-GB"/>
        </w:rPr>
        <w:t xml:space="preserve"> areas with values under 50%. In transition countries this proportion is around 2</w:t>
      </w:r>
      <w:r w:rsidR="00D30547" w:rsidRPr="007A2512">
        <w:rPr>
          <w:lang w:val="en-GB"/>
        </w:rPr>
        <w:t>0</w:t>
      </w:r>
      <w:r w:rsidRPr="003E553E">
        <w:rPr>
          <w:lang w:val="en-GB"/>
        </w:rPr>
        <w:t xml:space="preserve">%. This proportion </w:t>
      </w:r>
      <w:r w:rsidR="00D30547" w:rsidRPr="007A2512">
        <w:rPr>
          <w:lang w:val="en-GB"/>
        </w:rPr>
        <w:t>increases in 2021 compared to 2020</w:t>
      </w:r>
      <w:r w:rsidRPr="003E553E">
        <w:rPr>
          <w:lang w:val="en-GB"/>
        </w:rPr>
        <w:t xml:space="preserve">. </w:t>
      </w:r>
      <w:r w:rsidR="00F02355">
        <w:rPr>
          <w:lang w:val="en-GB"/>
        </w:rPr>
        <w:br/>
      </w:r>
    </w:p>
    <w:p w14:paraId="03DB36B7" w14:textId="60100F6D" w:rsidR="00F511C8" w:rsidRDefault="00DB4CB2" w:rsidP="00C6650E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 xml:space="preserve">Considering the terminations by region per 1000 inhabitants, </w:t>
      </w:r>
      <w:r w:rsidR="00B80E4B">
        <w:rPr>
          <w:lang w:val="en-GB"/>
        </w:rPr>
        <w:t>Oceania</w:t>
      </w:r>
      <w:r>
        <w:rPr>
          <w:lang w:val="en-GB"/>
        </w:rPr>
        <w:t xml:space="preserve"> has the lead </w:t>
      </w:r>
      <w:r w:rsidR="00B80E4B">
        <w:rPr>
          <w:lang w:val="en-GB"/>
        </w:rPr>
        <w:t xml:space="preserve">with </w:t>
      </w:r>
      <w:r w:rsidR="00671072">
        <w:rPr>
          <w:lang w:val="en-GB"/>
        </w:rPr>
        <w:t>1</w:t>
      </w:r>
      <w:r w:rsidR="0023348C">
        <w:rPr>
          <w:lang w:val="en-GB"/>
        </w:rPr>
        <w:t xml:space="preserve">4.16, followed by </w:t>
      </w:r>
      <w:r w:rsidR="003C7461">
        <w:rPr>
          <w:lang w:val="en-GB"/>
        </w:rPr>
        <w:t xml:space="preserve">Europe with </w:t>
      </w:r>
      <w:r w:rsidR="00EE3ACF">
        <w:rPr>
          <w:lang w:val="en-GB"/>
        </w:rPr>
        <w:t xml:space="preserve">4.31, </w:t>
      </w:r>
      <w:r w:rsidR="0023348C">
        <w:rPr>
          <w:lang w:val="en-GB"/>
        </w:rPr>
        <w:t xml:space="preserve">North America with </w:t>
      </w:r>
      <w:r w:rsidR="003C7461">
        <w:rPr>
          <w:lang w:val="en-GB"/>
        </w:rPr>
        <w:t xml:space="preserve">4.28, </w:t>
      </w:r>
      <w:r w:rsidR="00EE3ACF">
        <w:rPr>
          <w:lang w:val="en-GB"/>
        </w:rPr>
        <w:t xml:space="preserve">and Asia with 0.68. </w:t>
      </w:r>
      <w:r w:rsidR="00F02355">
        <w:rPr>
          <w:lang w:val="en-GB"/>
        </w:rPr>
        <w:br/>
      </w:r>
    </w:p>
    <w:p w14:paraId="454D0591" w14:textId="632CB817" w:rsidR="006427B6" w:rsidRPr="003E553E" w:rsidRDefault="00A4186A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lang w:val="en-GB"/>
        </w:rPr>
      </w:pPr>
      <w:r>
        <w:rPr>
          <w:lang w:val="en-GB"/>
        </w:rPr>
        <w:t>Regarding</w:t>
      </w:r>
      <w:r w:rsidR="006427B6" w:rsidRPr="003E553E">
        <w:rPr>
          <w:lang w:val="en-GB"/>
        </w:rPr>
        <w:t xml:space="preserve"> the proportion between compulsory an</w:t>
      </w:r>
      <w:r w:rsidR="00B442A5" w:rsidRPr="003E553E">
        <w:rPr>
          <w:lang w:val="en-GB"/>
        </w:rPr>
        <w:t>d</w:t>
      </w:r>
      <w:r w:rsidR="006427B6" w:rsidRPr="003E553E">
        <w:rPr>
          <w:lang w:val="en-GB"/>
        </w:rPr>
        <w:t xml:space="preserve"> total terminations, the numbers of developing countries are very similar to developed ones. For transition countries this proportion is always lower than in the other areas.</w:t>
      </w:r>
      <w:r w:rsidR="00F02355">
        <w:rPr>
          <w:lang w:val="en-GB"/>
        </w:rPr>
        <w:br/>
      </w:r>
    </w:p>
    <w:p w14:paraId="68C7A2E9" w14:textId="0D3C33E4" w:rsidR="008473C9" w:rsidRDefault="00EC12FD" w:rsidP="007A2512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 xml:space="preserve">In North America there is </w:t>
      </w:r>
      <w:r w:rsidR="00510B18">
        <w:rPr>
          <w:lang w:val="en-GB"/>
        </w:rPr>
        <w:t xml:space="preserve">almost doubled number </w:t>
      </w:r>
      <w:r>
        <w:rPr>
          <w:lang w:val="en-GB"/>
        </w:rPr>
        <w:t>of terminations</w:t>
      </w:r>
      <w:r w:rsidR="00510B18">
        <w:rPr>
          <w:lang w:val="en-GB"/>
        </w:rPr>
        <w:t xml:space="preserve"> of Sole Traders</w:t>
      </w:r>
      <w:r w:rsidR="00035748">
        <w:rPr>
          <w:lang w:val="en-GB"/>
        </w:rPr>
        <w:t>, General Partnerships</w:t>
      </w:r>
      <w:r w:rsidR="004A3B5D">
        <w:rPr>
          <w:lang w:val="en-GB"/>
        </w:rPr>
        <w:t xml:space="preserve"> and Limited Companies, and significant increase of terminations of </w:t>
      </w:r>
      <w:r w:rsidR="00EF02C3">
        <w:rPr>
          <w:lang w:val="en-GB"/>
        </w:rPr>
        <w:t>LLCs</w:t>
      </w:r>
      <w:r w:rsidR="004A3B5D">
        <w:rPr>
          <w:lang w:val="en-GB"/>
        </w:rPr>
        <w:t xml:space="preserve"> for 2021 compared to 2020</w:t>
      </w:r>
      <w:r w:rsidR="00035748">
        <w:rPr>
          <w:lang w:val="en-GB"/>
        </w:rPr>
        <w:t>.</w:t>
      </w:r>
    </w:p>
    <w:p w14:paraId="06DA5137" w14:textId="77777777" w:rsidR="00F02355" w:rsidRDefault="00F02355" w:rsidP="00F02355">
      <w:pPr>
        <w:pStyle w:val="ListParagraph"/>
        <w:spacing w:before="360" w:after="120" w:line="360" w:lineRule="auto"/>
        <w:ind w:left="283"/>
        <w:jc w:val="both"/>
        <w:rPr>
          <w:lang w:val="en-GB"/>
        </w:rPr>
      </w:pPr>
    </w:p>
    <w:p w14:paraId="3533D020" w14:textId="0E086400" w:rsidR="00F02355" w:rsidRPr="00F02355" w:rsidRDefault="00A1606E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lang w:val="en-GB"/>
        </w:rPr>
      </w:pPr>
      <w:r>
        <w:rPr>
          <w:lang w:val="en-GB"/>
        </w:rPr>
        <w:lastRenderedPageBreak/>
        <w:t xml:space="preserve">South America has stable number of terminations </w:t>
      </w:r>
      <w:r w:rsidR="00EF02C3">
        <w:rPr>
          <w:lang w:val="en-GB"/>
        </w:rPr>
        <w:t xml:space="preserve">of all organizational forms for 2021 compared to 2020. </w:t>
      </w:r>
      <w:r w:rsidR="00F02355">
        <w:rPr>
          <w:lang w:val="en-GB"/>
        </w:rPr>
        <w:br/>
      </w:r>
    </w:p>
    <w:p w14:paraId="513D25DD" w14:textId="63802C7D" w:rsidR="00EF02C3" w:rsidRDefault="00D2287F" w:rsidP="007A2512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 xml:space="preserve">In Europe there is significant increase in terminations of LLCs and Private Limited Companies for 2021 compared to 2020. </w:t>
      </w:r>
    </w:p>
    <w:p w14:paraId="24315F90" w14:textId="77777777" w:rsidR="00F02355" w:rsidRDefault="00F02355" w:rsidP="00F02355">
      <w:pPr>
        <w:pStyle w:val="ListParagraph"/>
        <w:spacing w:before="360" w:after="120" w:line="360" w:lineRule="auto"/>
        <w:ind w:left="283"/>
        <w:jc w:val="both"/>
        <w:rPr>
          <w:lang w:val="en-GB"/>
        </w:rPr>
      </w:pPr>
    </w:p>
    <w:p w14:paraId="44F872C0" w14:textId="152BDD13" w:rsidR="00BC7D70" w:rsidRDefault="00BC7D70" w:rsidP="007A2512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>Oceania has significant increase in terminations of Sole Traders</w:t>
      </w:r>
      <w:r w:rsidR="00B02C7A">
        <w:rPr>
          <w:lang w:val="en-GB"/>
        </w:rPr>
        <w:t xml:space="preserve"> </w:t>
      </w:r>
      <w:r w:rsidR="00597DDC">
        <w:rPr>
          <w:lang w:val="en-GB"/>
        </w:rPr>
        <w:t xml:space="preserve">for 2021 compared to 2020. </w:t>
      </w:r>
      <w:r w:rsidR="00F02355">
        <w:rPr>
          <w:lang w:val="en-GB"/>
        </w:rPr>
        <w:br/>
      </w:r>
    </w:p>
    <w:p w14:paraId="4790FEB3" w14:textId="4ECCD980" w:rsidR="00597DDC" w:rsidRPr="008473C9" w:rsidRDefault="008F5A55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lang w:val="en-GB"/>
        </w:rPr>
      </w:pPr>
      <w:r>
        <w:rPr>
          <w:lang w:val="en-GB"/>
        </w:rPr>
        <w:t xml:space="preserve">Asia showed steady </w:t>
      </w:r>
      <w:r w:rsidR="00337047">
        <w:rPr>
          <w:lang w:val="en-GB"/>
        </w:rPr>
        <w:t xml:space="preserve">trend for termination across all organizational forms for 2021 compared to the previous period. </w:t>
      </w:r>
      <w:r w:rsidR="00F02355">
        <w:rPr>
          <w:lang w:val="en-GB"/>
        </w:rPr>
        <w:br/>
      </w:r>
    </w:p>
    <w:p w14:paraId="3838E3D9" w14:textId="37B07305" w:rsidR="000F5D39" w:rsidRDefault="006072B1" w:rsidP="00F02355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rPr>
          <w:lang w:val="en-GB"/>
        </w:rPr>
      </w:pPr>
      <w:r w:rsidRPr="006072B1">
        <w:rPr>
          <w:lang w:val="en-GB"/>
        </w:rPr>
        <w:t>Looking closely by regions in terms of the proportion of incorporations/terminations (at the ratios) there are no significant changes.</w:t>
      </w:r>
      <w:r w:rsidR="00F02355">
        <w:rPr>
          <w:lang w:val="en-GB"/>
        </w:rPr>
        <w:br/>
      </w:r>
    </w:p>
    <w:p w14:paraId="66120B23" w14:textId="073969A7" w:rsidR="003228A6" w:rsidRDefault="006C21A2" w:rsidP="007A2512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 xml:space="preserve">Looking at the </w:t>
      </w:r>
      <w:r w:rsidR="00A716B3">
        <w:rPr>
          <w:lang w:val="en-GB"/>
        </w:rPr>
        <w:t>trend of incorporations minus terminations in Asia</w:t>
      </w:r>
      <w:r w:rsidR="008C6099">
        <w:rPr>
          <w:lang w:val="en-GB"/>
        </w:rPr>
        <w:t xml:space="preserve"> and Europe</w:t>
      </w:r>
      <w:r w:rsidR="00A716B3">
        <w:rPr>
          <w:lang w:val="en-GB"/>
        </w:rPr>
        <w:t xml:space="preserve"> ther</w:t>
      </w:r>
      <w:r w:rsidR="00AF2FF3">
        <w:rPr>
          <w:lang w:val="en-GB"/>
        </w:rPr>
        <w:t>e</w:t>
      </w:r>
      <w:r w:rsidR="00A716B3">
        <w:rPr>
          <w:lang w:val="en-GB"/>
        </w:rPr>
        <w:t xml:space="preserve"> is negative trend </w:t>
      </w:r>
      <w:r w:rsidR="00AF2FF3">
        <w:rPr>
          <w:lang w:val="en-GB"/>
        </w:rPr>
        <w:t xml:space="preserve">General Partnerships and Public Limited Companies. </w:t>
      </w:r>
      <w:r w:rsidR="00316D92">
        <w:rPr>
          <w:lang w:val="en-GB"/>
        </w:rPr>
        <w:t>In South America there is negative trend only in Public Limited Companies</w:t>
      </w:r>
      <w:r w:rsidR="008C6099">
        <w:rPr>
          <w:lang w:val="en-GB"/>
        </w:rPr>
        <w:t xml:space="preserve">, while in </w:t>
      </w:r>
      <w:r w:rsidR="008F5260">
        <w:rPr>
          <w:lang w:val="en-GB"/>
        </w:rPr>
        <w:t xml:space="preserve">Oceania negative trend is present only with General Partnerships. </w:t>
      </w:r>
      <w:r w:rsidR="00F02355">
        <w:rPr>
          <w:lang w:val="en-GB"/>
        </w:rPr>
        <w:br/>
      </w:r>
    </w:p>
    <w:p w14:paraId="1A8D1D95" w14:textId="01435C7E" w:rsidR="006C21A2" w:rsidRPr="003758B6" w:rsidRDefault="00471AFF" w:rsidP="007A2512">
      <w:pPr>
        <w:pStyle w:val="ListParagraph"/>
        <w:numPr>
          <w:ilvl w:val="0"/>
          <w:numId w:val="3"/>
        </w:numPr>
        <w:spacing w:before="360" w:after="120" w:line="360" w:lineRule="auto"/>
        <w:ind w:left="283" w:hanging="357"/>
        <w:jc w:val="both"/>
        <w:rPr>
          <w:lang w:val="en-GB"/>
        </w:rPr>
      </w:pPr>
      <w:r>
        <w:rPr>
          <w:lang w:val="en-GB"/>
        </w:rPr>
        <w:t>The ratio compulsory vs. total terminations is steady across all region</w:t>
      </w:r>
      <w:r w:rsidR="00892F97">
        <w:rPr>
          <w:lang w:val="en-GB"/>
        </w:rPr>
        <w:t xml:space="preserve">s for the respective period. </w:t>
      </w:r>
      <w:r w:rsidR="008C6099">
        <w:rPr>
          <w:lang w:val="en-GB"/>
        </w:rPr>
        <w:t xml:space="preserve"> </w:t>
      </w:r>
      <w:r w:rsidR="00A716B3">
        <w:rPr>
          <w:lang w:val="en-GB"/>
        </w:rPr>
        <w:t xml:space="preserve"> </w:t>
      </w:r>
    </w:p>
    <w:sectPr w:rsidR="006C21A2" w:rsidRPr="003758B6" w:rsidSect="00860329">
      <w:headerReference w:type="default" r:id="rId7"/>
      <w:footerReference w:type="default" r:id="rId8"/>
      <w:pgSz w:w="11906" w:h="16838"/>
      <w:pgMar w:top="1440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68C4" w14:textId="77777777" w:rsidR="009B267D" w:rsidRDefault="009B267D" w:rsidP="00F759EF">
      <w:pPr>
        <w:spacing w:after="0" w:line="240" w:lineRule="auto"/>
      </w:pPr>
      <w:r>
        <w:separator/>
      </w:r>
    </w:p>
  </w:endnote>
  <w:endnote w:type="continuationSeparator" w:id="0">
    <w:p w14:paraId="4A5BF8EF" w14:textId="77777777" w:rsidR="009B267D" w:rsidRDefault="009B267D" w:rsidP="00F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21345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b/>
        <w:bCs/>
        <w:color w:val="2B5DA8"/>
        <w:sz w:val="20"/>
        <w:szCs w:val="20"/>
      </w:rPr>
    </w:sdtEndPr>
    <w:sdtContent>
      <w:p w14:paraId="05DDC725" w14:textId="77777777" w:rsidR="00860329" w:rsidRPr="00F759EF" w:rsidRDefault="00860329">
        <w:pPr>
          <w:pStyle w:val="Footer"/>
          <w:jc w:val="right"/>
          <w:rPr>
            <w:rFonts w:asciiTheme="majorHAnsi" w:hAnsiTheme="majorHAnsi" w:cstheme="majorHAnsi"/>
            <w:b/>
            <w:bCs/>
            <w:color w:val="2B5DA8"/>
            <w:sz w:val="20"/>
            <w:szCs w:val="20"/>
          </w:rPr>
        </w:pPr>
      </w:p>
      <w:tbl>
        <w:tblPr>
          <w:tblW w:w="9498" w:type="dxa"/>
          <w:tblLayout w:type="fixed"/>
          <w:tblLook w:val="01E0" w:firstRow="1" w:lastRow="1" w:firstColumn="1" w:lastColumn="1" w:noHBand="0" w:noVBand="0"/>
        </w:tblPr>
        <w:tblGrid>
          <w:gridCol w:w="360"/>
          <w:gridCol w:w="8460"/>
          <w:gridCol w:w="678"/>
        </w:tblGrid>
        <w:tr w:rsidR="00860329" w:rsidRPr="00882D74" w14:paraId="065D4EF2" w14:textId="77777777" w:rsidTr="00860329">
          <w:tc>
            <w:tcPr>
              <w:tcW w:w="360" w:type="dxa"/>
              <w:shd w:val="clear" w:color="auto" w:fill="auto"/>
              <w:tcMar>
                <w:top w:w="0" w:type="dxa"/>
                <w:left w:w="0" w:type="dxa"/>
                <w:right w:w="0" w:type="dxa"/>
              </w:tcMar>
              <w:vAlign w:val="center"/>
            </w:tcPr>
            <w:p w14:paraId="282D936F" w14:textId="77777777" w:rsidR="00860329" w:rsidRPr="00291ECD" w:rsidRDefault="00860329" w:rsidP="00860329">
              <w:pPr>
                <w:pStyle w:val="Footer"/>
                <w:ind w:right="360"/>
                <w:rPr>
                  <w:b/>
                </w:rPr>
              </w:pPr>
            </w:p>
          </w:tc>
          <w:tc>
            <w:tcPr>
              <w:tcW w:w="8460" w:type="dxa"/>
              <w:shd w:val="clear" w:color="auto" w:fill="auto"/>
              <w:tcMar>
                <w:left w:w="28" w:type="dxa"/>
              </w:tcMar>
              <w:vAlign w:val="center"/>
            </w:tcPr>
            <w:p w14:paraId="777DDD9E" w14:textId="77777777" w:rsidR="00860329" w:rsidRPr="00882CBB" w:rsidRDefault="00860329" w:rsidP="00860329">
              <w:pPr>
                <w:pStyle w:val="Footer"/>
                <w:ind w:firstLine="146"/>
                <w:jc w:val="center"/>
                <w:rPr>
                  <w:rFonts w:ascii="Calibri" w:hAnsi="Calibri"/>
                  <w:sz w:val="18"/>
                  <w:szCs w:val="18"/>
                  <w:lang w:val="es-ES"/>
                </w:rPr>
              </w:pPr>
            </w:p>
          </w:tc>
          <w:tc>
            <w:tcPr>
              <w:tcW w:w="678" w:type="dxa"/>
              <w:shd w:val="clear" w:color="auto" w:fill="auto"/>
              <w:vAlign w:val="center"/>
            </w:tcPr>
            <w:p w14:paraId="32ABDD80" w14:textId="77777777" w:rsidR="00860329" w:rsidRPr="00860329" w:rsidRDefault="00860329" w:rsidP="00860329">
              <w:pPr>
                <w:pStyle w:val="Footer"/>
                <w:jc w:val="right"/>
                <w:rPr>
                  <w:rFonts w:asciiTheme="majorHAnsi" w:hAnsiTheme="majorHAnsi" w:cstheme="majorHAnsi"/>
                  <w:b/>
                  <w:bCs/>
                  <w:color w:val="AF1E2D"/>
                  <w:sz w:val="14"/>
                  <w:szCs w:val="14"/>
                </w:rPr>
              </w:pP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begin"/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instrText xml:space="preserve">PAGE  </w:instrText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separate"/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noProof/>
                  <w:color w:val="2B5DA8"/>
                </w:rPr>
                <w:t>6</w:t>
              </w:r>
              <w:r w:rsidRPr="00860329">
                <w:rPr>
                  <w:rStyle w:val="PageNumber"/>
                  <w:rFonts w:asciiTheme="majorHAnsi" w:hAnsiTheme="majorHAnsi" w:cstheme="majorHAnsi"/>
                  <w:b/>
                  <w:bCs/>
                  <w:color w:val="2B5DA8"/>
                </w:rPr>
                <w:fldChar w:fldCharType="end"/>
              </w:r>
            </w:p>
          </w:tc>
        </w:tr>
      </w:tbl>
      <w:p w14:paraId="44AA4C6A" w14:textId="77777777" w:rsidR="00F759EF" w:rsidRPr="00F759EF" w:rsidRDefault="00000000" w:rsidP="00860329">
        <w:pPr>
          <w:pStyle w:val="Footer"/>
          <w:rPr>
            <w:rFonts w:asciiTheme="majorHAnsi" w:hAnsiTheme="majorHAnsi" w:cstheme="majorHAnsi"/>
            <w:b/>
            <w:bCs/>
            <w:color w:val="2B5DA8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5A5C" w14:textId="77777777" w:rsidR="009B267D" w:rsidRDefault="009B267D" w:rsidP="00F759EF">
      <w:pPr>
        <w:spacing w:after="0" w:line="240" w:lineRule="auto"/>
      </w:pPr>
      <w:r>
        <w:separator/>
      </w:r>
    </w:p>
  </w:footnote>
  <w:footnote w:type="continuationSeparator" w:id="0">
    <w:p w14:paraId="50F0891C" w14:textId="77777777" w:rsidR="009B267D" w:rsidRDefault="009B267D" w:rsidP="00F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ayout w:type="fixed"/>
      <w:tblLook w:val="01E0" w:firstRow="1" w:lastRow="1" w:firstColumn="1" w:lastColumn="1" w:noHBand="0" w:noVBand="0"/>
    </w:tblPr>
    <w:tblGrid>
      <w:gridCol w:w="2927"/>
      <w:gridCol w:w="7138"/>
    </w:tblGrid>
    <w:tr w:rsidR="00E821DA" w:rsidRPr="00E821DA" w14:paraId="5541DC16" w14:textId="77777777" w:rsidTr="00860329">
      <w:trPr>
        <w:jc w:val="center"/>
      </w:trPr>
      <w:tc>
        <w:tcPr>
          <w:tcW w:w="2927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678F73DD" w14:textId="77777777" w:rsidR="00E821DA" w:rsidRPr="00646B9F" w:rsidRDefault="00E821DA" w:rsidP="00860329">
          <w:pPr>
            <w:pStyle w:val="Header"/>
            <w:tabs>
              <w:tab w:val="clear" w:pos="8838"/>
              <w:tab w:val="right" w:pos="2715"/>
            </w:tabs>
            <w:ind w:left="-102"/>
            <w:rPr>
              <w:rFonts w:asciiTheme="majorHAnsi" w:hAnsiTheme="majorHAnsi" w:cstheme="majorHAnsi"/>
              <w:b/>
              <w:bCs/>
              <w:sz w:val="18"/>
              <w:szCs w:val="18"/>
              <w:lang w:val="en-GB"/>
            </w:rPr>
          </w:pPr>
          <w:r w:rsidRPr="00646B9F">
            <w:rPr>
              <w:rFonts w:asciiTheme="majorHAnsi" w:hAnsiTheme="majorHAnsi" w:cstheme="majorHAnsi"/>
              <w:b/>
              <w:bCs/>
              <w:color w:val="605E5C"/>
              <w:sz w:val="18"/>
              <w:szCs w:val="18"/>
              <w:lang w:val="en-GB"/>
            </w:rPr>
            <w:t>IBRR Survey Analysis</w:t>
          </w:r>
        </w:p>
      </w:tc>
      <w:tc>
        <w:tcPr>
          <w:tcW w:w="7138" w:type="dxa"/>
          <w:shd w:val="clear" w:color="auto" w:fill="auto"/>
          <w:vAlign w:val="center"/>
        </w:tcPr>
        <w:p w14:paraId="055CD41C" w14:textId="0DBFC146" w:rsidR="00E821DA" w:rsidRPr="00646B9F" w:rsidRDefault="00E821DA" w:rsidP="00E821DA">
          <w:pPr>
            <w:pStyle w:val="Header"/>
            <w:ind w:right="-101"/>
            <w:jc w:val="right"/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</w:pPr>
          <w:r w:rsidRPr="00646B9F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Business Dynamics 201</w:t>
          </w:r>
          <w:r w:rsidR="00860329" w:rsidRPr="00646B9F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8-202</w:t>
          </w:r>
          <w:r w:rsidR="00A66E1A">
            <w:rPr>
              <w:rFonts w:asciiTheme="majorHAnsi" w:hAnsiTheme="majorHAnsi" w:cstheme="majorHAnsi"/>
              <w:b/>
              <w:bCs/>
              <w:color w:val="2B5DA8"/>
              <w:sz w:val="18"/>
              <w:szCs w:val="18"/>
              <w:lang w:val="en-GB"/>
            </w:rPr>
            <w:t>1</w:t>
          </w:r>
        </w:p>
      </w:tc>
    </w:tr>
  </w:tbl>
  <w:p w14:paraId="5AA50E62" w14:textId="77777777" w:rsidR="00F759EF" w:rsidRDefault="00F75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477"/>
    <w:multiLevelType w:val="hybridMultilevel"/>
    <w:tmpl w:val="4B1C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74F"/>
    <w:multiLevelType w:val="hybridMultilevel"/>
    <w:tmpl w:val="0D12C280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314554"/>
    <w:multiLevelType w:val="hybridMultilevel"/>
    <w:tmpl w:val="EFB8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4BC6"/>
    <w:multiLevelType w:val="hybridMultilevel"/>
    <w:tmpl w:val="76C02B94"/>
    <w:lvl w:ilvl="0" w:tplc="5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9800AB"/>
    <w:multiLevelType w:val="hybridMultilevel"/>
    <w:tmpl w:val="9E98D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08D"/>
    <w:multiLevelType w:val="hybridMultilevel"/>
    <w:tmpl w:val="564C2198"/>
    <w:lvl w:ilvl="0" w:tplc="08CE2B74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008172827">
    <w:abstractNumId w:val="5"/>
  </w:num>
  <w:num w:numId="2" w16cid:durableId="102305095">
    <w:abstractNumId w:val="4"/>
  </w:num>
  <w:num w:numId="3" w16cid:durableId="1759600458">
    <w:abstractNumId w:val="2"/>
  </w:num>
  <w:num w:numId="4" w16cid:durableId="195244143">
    <w:abstractNumId w:val="0"/>
  </w:num>
  <w:num w:numId="5" w16cid:durableId="854147349">
    <w:abstractNumId w:val="3"/>
  </w:num>
  <w:num w:numId="6" w16cid:durableId="135275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DF"/>
    <w:rsid w:val="00000A0F"/>
    <w:rsid w:val="00024873"/>
    <w:rsid w:val="00035748"/>
    <w:rsid w:val="000603A8"/>
    <w:rsid w:val="000629A7"/>
    <w:rsid w:val="00065ECE"/>
    <w:rsid w:val="00075057"/>
    <w:rsid w:val="0007701A"/>
    <w:rsid w:val="00082A6E"/>
    <w:rsid w:val="00097E80"/>
    <w:rsid w:val="000A3C7E"/>
    <w:rsid w:val="000A3D4D"/>
    <w:rsid w:val="000B1218"/>
    <w:rsid w:val="000B6D36"/>
    <w:rsid w:val="000D029C"/>
    <w:rsid w:val="000D0FDA"/>
    <w:rsid w:val="000D15A4"/>
    <w:rsid w:val="000F5D39"/>
    <w:rsid w:val="000F6A4D"/>
    <w:rsid w:val="0011166A"/>
    <w:rsid w:val="00133CDE"/>
    <w:rsid w:val="00142686"/>
    <w:rsid w:val="00166A33"/>
    <w:rsid w:val="00174B39"/>
    <w:rsid w:val="001A55FA"/>
    <w:rsid w:val="001B5678"/>
    <w:rsid w:val="001B59DD"/>
    <w:rsid w:val="001C54DF"/>
    <w:rsid w:val="001D2EF3"/>
    <w:rsid w:val="001D7CF3"/>
    <w:rsid w:val="00206EF1"/>
    <w:rsid w:val="0023348C"/>
    <w:rsid w:val="0024478B"/>
    <w:rsid w:val="002559A7"/>
    <w:rsid w:val="002579D8"/>
    <w:rsid w:val="00277ED0"/>
    <w:rsid w:val="002B4CF5"/>
    <w:rsid w:val="002C6981"/>
    <w:rsid w:val="002D0361"/>
    <w:rsid w:val="002D2CA5"/>
    <w:rsid w:val="002D6996"/>
    <w:rsid w:val="002F53BE"/>
    <w:rsid w:val="00301141"/>
    <w:rsid w:val="00316D92"/>
    <w:rsid w:val="003228A6"/>
    <w:rsid w:val="00331AC3"/>
    <w:rsid w:val="00337047"/>
    <w:rsid w:val="00350E42"/>
    <w:rsid w:val="003516DF"/>
    <w:rsid w:val="003579D2"/>
    <w:rsid w:val="0036244E"/>
    <w:rsid w:val="0036346B"/>
    <w:rsid w:val="00373211"/>
    <w:rsid w:val="003758B6"/>
    <w:rsid w:val="003774A2"/>
    <w:rsid w:val="003A2E9C"/>
    <w:rsid w:val="003C7461"/>
    <w:rsid w:val="003E2F20"/>
    <w:rsid w:val="003E553E"/>
    <w:rsid w:val="003F0482"/>
    <w:rsid w:val="003F1DAA"/>
    <w:rsid w:val="003F2CCA"/>
    <w:rsid w:val="003F7491"/>
    <w:rsid w:val="00405D0B"/>
    <w:rsid w:val="00407057"/>
    <w:rsid w:val="004127F2"/>
    <w:rsid w:val="00427FCF"/>
    <w:rsid w:val="00431944"/>
    <w:rsid w:val="00437741"/>
    <w:rsid w:val="004505EA"/>
    <w:rsid w:val="00451FD7"/>
    <w:rsid w:val="004633C2"/>
    <w:rsid w:val="00467542"/>
    <w:rsid w:val="00471AFF"/>
    <w:rsid w:val="00482AD8"/>
    <w:rsid w:val="004A3B5D"/>
    <w:rsid w:val="004C3CBE"/>
    <w:rsid w:val="004D0614"/>
    <w:rsid w:val="004D290B"/>
    <w:rsid w:val="004D31EC"/>
    <w:rsid w:val="004E286E"/>
    <w:rsid w:val="005077BC"/>
    <w:rsid w:val="00510B18"/>
    <w:rsid w:val="00521658"/>
    <w:rsid w:val="00545932"/>
    <w:rsid w:val="005548B0"/>
    <w:rsid w:val="00555075"/>
    <w:rsid w:val="00560EE0"/>
    <w:rsid w:val="0056376C"/>
    <w:rsid w:val="00573600"/>
    <w:rsid w:val="00597DDC"/>
    <w:rsid w:val="005A5853"/>
    <w:rsid w:val="005B09FD"/>
    <w:rsid w:val="005C5DCA"/>
    <w:rsid w:val="005C6140"/>
    <w:rsid w:val="005C61DA"/>
    <w:rsid w:val="005E44AC"/>
    <w:rsid w:val="005E496B"/>
    <w:rsid w:val="005E77A7"/>
    <w:rsid w:val="005F674F"/>
    <w:rsid w:val="0060208F"/>
    <w:rsid w:val="00603B06"/>
    <w:rsid w:val="00604602"/>
    <w:rsid w:val="00605BA0"/>
    <w:rsid w:val="006072B1"/>
    <w:rsid w:val="006236FD"/>
    <w:rsid w:val="00627373"/>
    <w:rsid w:val="006427B6"/>
    <w:rsid w:val="00646B9F"/>
    <w:rsid w:val="00650F8B"/>
    <w:rsid w:val="00651B63"/>
    <w:rsid w:val="00664381"/>
    <w:rsid w:val="00664AE9"/>
    <w:rsid w:val="00671072"/>
    <w:rsid w:val="00677AB5"/>
    <w:rsid w:val="006907ED"/>
    <w:rsid w:val="00693AE9"/>
    <w:rsid w:val="006B6D66"/>
    <w:rsid w:val="006C21A2"/>
    <w:rsid w:val="006D081E"/>
    <w:rsid w:val="00777ABB"/>
    <w:rsid w:val="007A2512"/>
    <w:rsid w:val="007A456D"/>
    <w:rsid w:val="007A6F6F"/>
    <w:rsid w:val="007C0161"/>
    <w:rsid w:val="007D378D"/>
    <w:rsid w:val="007F29F5"/>
    <w:rsid w:val="007F2B0C"/>
    <w:rsid w:val="007F6B53"/>
    <w:rsid w:val="0080245B"/>
    <w:rsid w:val="00806F36"/>
    <w:rsid w:val="00816826"/>
    <w:rsid w:val="00821987"/>
    <w:rsid w:val="008279E7"/>
    <w:rsid w:val="00831354"/>
    <w:rsid w:val="00833A7C"/>
    <w:rsid w:val="00836E3D"/>
    <w:rsid w:val="0084150F"/>
    <w:rsid w:val="0084381F"/>
    <w:rsid w:val="008473C9"/>
    <w:rsid w:val="00860329"/>
    <w:rsid w:val="008625E5"/>
    <w:rsid w:val="0087189D"/>
    <w:rsid w:val="008740F8"/>
    <w:rsid w:val="00876156"/>
    <w:rsid w:val="008839D2"/>
    <w:rsid w:val="008849E9"/>
    <w:rsid w:val="00884A4A"/>
    <w:rsid w:val="00885317"/>
    <w:rsid w:val="00892F97"/>
    <w:rsid w:val="008A14B4"/>
    <w:rsid w:val="008C5A7D"/>
    <w:rsid w:val="008C6099"/>
    <w:rsid w:val="008E3053"/>
    <w:rsid w:val="008F3756"/>
    <w:rsid w:val="008F5138"/>
    <w:rsid w:val="008F5260"/>
    <w:rsid w:val="008F5A55"/>
    <w:rsid w:val="0090307A"/>
    <w:rsid w:val="0090712C"/>
    <w:rsid w:val="00913989"/>
    <w:rsid w:val="0092046B"/>
    <w:rsid w:val="00934AA9"/>
    <w:rsid w:val="00953683"/>
    <w:rsid w:val="00977488"/>
    <w:rsid w:val="00983477"/>
    <w:rsid w:val="00992CDD"/>
    <w:rsid w:val="009A14C5"/>
    <w:rsid w:val="009A423C"/>
    <w:rsid w:val="009B267D"/>
    <w:rsid w:val="009D6E38"/>
    <w:rsid w:val="009E67F6"/>
    <w:rsid w:val="00A14349"/>
    <w:rsid w:val="00A1606E"/>
    <w:rsid w:val="00A249FE"/>
    <w:rsid w:val="00A416D8"/>
    <w:rsid w:val="00A4186A"/>
    <w:rsid w:val="00A46B2E"/>
    <w:rsid w:val="00A543B1"/>
    <w:rsid w:val="00A60C84"/>
    <w:rsid w:val="00A62027"/>
    <w:rsid w:val="00A66E1A"/>
    <w:rsid w:val="00A716B3"/>
    <w:rsid w:val="00A721F9"/>
    <w:rsid w:val="00A91C69"/>
    <w:rsid w:val="00AB0413"/>
    <w:rsid w:val="00AC5676"/>
    <w:rsid w:val="00AD2716"/>
    <w:rsid w:val="00AE01B2"/>
    <w:rsid w:val="00AE19BE"/>
    <w:rsid w:val="00AE65AB"/>
    <w:rsid w:val="00AF24CC"/>
    <w:rsid w:val="00AF2FF3"/>
    <w:rsid w:val="00AF7070"/>
    <w:rsid w:val="00B02C7A"/>
    <w:rsid w:val="00B039D7"/>
    <w:rsid w:val="00B072B1"/>
    <w:rsid w:val="00B112FC"/>
    <w:rsid w:val="00B23679"/>
    <w:rsid w:val="00B24340"/>
    <w:rsid w:val="00B37B0A"/>
    <w:rsid w:val="00B412AA"/>
    <w:rsid w:val="00B442A5"/>
    <w:rsid w:val="00B449F1"/>
    <w:rsid w:val="00B47B2E"/>
    <w:rsid w:val="00B60267"/>
    <w:rsid w:val="00B77946"/>
    <w:rsid w:val="00B80E4B"/>
    <w:rsid w:val="00B82DE1"/>
    <w:rsid w:val="00B831E2"/>
    <w:rsid w:val="00B87F4F"/>
    <w:rsid w:val="00B95888"/>
    <w:rsid w:val="00BA1E0E"/>
    <w:rsid w:val="00BA255A"/>
    <w:rsid w:val="00BA7A56"/>
    <w:rsid w:val="00BB4D6B"/>
    <w:rsid w:val="00BC2849"/>
    <w:rsid w:val="00BC5336"/>
    <w:rsid w:val="00BC7D70"/>
    <w:rsid w:val="00BD48BE"/>
    <w:rsid w:val="00BD7E3F"/>
    <w:rsid w:val="00BE3925"/>
    <w:rsid w:val="00C140AF"/>
    <w:rsid w:val="00C20B16"/>
    <w:rsid w:val="00C244CA"/>
    <w:rsid w:val="00C30D80"/>
    <w:rsid w:val="00C33896"/>
    <w:rsid w:val="00C45044"/>
    <w:rsid w:val="00C648A4"/>
    <w:rsid w:val="00C6650E"/>
    <w:rsid w:val="00C66C26"/>
    <w:rsid w:val="00C7326A"/>
    <w:rsid w:val="00C76B67"/>
    <w:rsid w:val="00C920EE"/>
    <w:rsid w:val="00CB50B6"/>
    <w:rsid w:val="00CC207C"/>
    <w:rsid w:val="00CD41AF"/>
    <w:rsid w:val="00CD7A67"/>
    <w:rsid w:val="00D02C20"/>
    <w:rsid w:val="00D03874"/>
    <w:rsid w:val="00D2287F"/>
    <w:rsid w:val="00D23776"/>
    <w:rsid w:val="00D26286"/>
    <w:rsid w:val="00D30547"/>
    <w:rsid w:val="00D35392"/>
    <w:rsid w:val="00D4316B"/>
    <w:rsid w:val="00D4574B"/>
    <w:rsid w:val="00D52861"/>
    <w:rsid w:val="00DB4BDE"/>
    <w:rsid w:val="00DB4CB2"/>
    <w:rsid w:val="00DC4903"/>
    <w:rsid w:val="00DD09C7"/>
    <w:rsid w:val="00DD1228"/>
    <w:rsid w:val="00DD7C93"/>
    <w:rsid w:val="00E24F61"/>
    <w:rsid w:val="00E2776D"/>
    <w:rsid w:val="00E301EC"/>
    <w:rsid w:val="00E637A2"/>
    <w:rsid w:val="00E821DA"/>
    <w:rsid w:val="00E8293D"/>
    <w:rsid w:val="00E8339B"/>
    <w:rsid w:val="00E9247E"/>
    <w:rsid w:val="00E94A8C"/>
    <w:rsid w:val="00E94FF6"/>
    <w:rsid w:val="00EA5F5D"/>
    <w:rsid w:val="00EB1CE8"/>
    <w:rsid w:val="00EB435B"/>
    <w:rsid w:val="00EC12FD"/>
    <w:rsid w:val="00ED18B6"/>
    <w:rsid w:val="00EE2D62"/>
    <w:rsid w:val="00EE3ACF"/>
    <w:rsid w:val="00EF02C3"/>
    <w:rsid w:val="00EF1CCE"/>
    <w:rsid w:val="00F02355"/>
    <w:rsid w:val="00F07B4B"/>
    <w:rsid w:val="00F1757B"/>
    <w:rsid w:val="00F277FB"/>
    <w:rsid w:val="00F27A81"/>
    <w:rsid w:val="00F3059E"/>
    <w:rsid w:val="00F3588E"/>
    <w:rsid w:val="00F435D1"/>
    <w:rsid w:val="00F50B9F"/>
    <w:rsid w:val="00F511C8"/>
    <w:rsid w:val="00F666DB"/>
    <w:rsid w:val="00F759EF"/>
    <w:rsid w:val="00F90B8B"/>
    <w:rsid w:val="00F9163F"/>
    <w:rsid w:val="00F955EB"/>
    <w:rsid w:val="00FB44FF"/>
    <w:rsid w:val="00FC527C"/>
    <w:rsid w:val="00FD0CF0"/>
    <w:rsid w:val="00FE65A9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C98B"/>
  <w15:chartTrackingRefBased/>
  <w15:docId w15:val="{BCFB683A-805E-4A72-BDB7-A95B413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F7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9EF"/>
  </w:style>
  <w:style w:type="paragraph" w:styleId="Footer">
    <w:name w:val="footer"/>
    <w:basedOn w:val="Normal"/>
    <w:link w:val="FooterChar"/>
    <w:unhideWhenUsed/>
    <w:rsid w:val="00F7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9EF"/>
  </w:style>
  <w:style w:type="character" w:styleId="PageNumber">
    <w:name w:val="page number"/>
    <w:basedOn w:val="DefaultParagraphFont"/>
    <w:rsid w:val="00860329"/>
  </w:style>
  <w:style w:type="paragraph" w:styleId="Revision">
    <w:name w:val="Revision"/>
    <w:hidden/>
    <w:uiPriority w:val="99"/>
    <w:semiHidden/>
    <w:rsid w:val="00257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Helen Fletcher</cp:lastModifiedBy>
  <cp:revision>5</cp:revision>
  <dcterms:created xsi:type="dcterms:W3CDTF">2023-06-21T15:11:00Z</dcterms:created>
  <dcterms:modified xsi:type="dcterms:W3CDTF">2023-06-22T10:56:00Z</dcterms:modified>
</cp:coreProperties>
</file>