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9BC7" w14:textId="06666F5D" w:rsidR="001003F4" w:rsidRPr="000A3D4D" w:rsidRDefault="001003F4" w:rsidP="001003F4">
      <w:pPr>
        <w:pStyle w:val="Heading1"/>
        <w:spacing w:before="360" w:after="240" w:line="276" w:lineRule="auto"/>
        <w:jc w:val="center"/>
        <w:rPr>
          <w:b/>
          <w:bCs/>
          <w:noProof/>
          <w:sz w:val="36"/>
          <w:szCs w:val="36"/>
          <w:lang w:val="en-GB"/>
        </w:rPr>
      </w:pPr>
      <w:r w:rsidRPr="000A3D4D">
        <w:rPr>
          <w:b/>
          <w:bCs/>
          <w:noProof/>
          <w:sz w:val="36"/>
          <w:szCs w:val="36"/>
          <w:lang w:val="en-GB"/>
        </w:rPr>
        <w:t>KEY DISCOVERIES</w:t>
      </w:r>
      <w:r w:rsidR="007E3B47">
        <w:rPr>
          <w:b/>
          <w:bCs/>
          <w:noProof/>
          <w:sz w:val="36"/>
          <w:szCs w:val="36"/>
          <w:lang w:val="en-GB"/>
        </w:rPr>
        <w:t xml:space="preserve"> (all respondents)</w:t>
      </w:r>
    </w:p>
    <w:p w14:paraId="2E6C2C35" w14:textId="086CFE43" w:rsidR="00B80A9A" w:rsidRPr="00B80A9A" w:rsidRDefault="001003F4" w:rsidP="00B80A9A">
      <w:pPr>
        <w:pStyle w:val="Heading1"/>
        <w:spacing w:before="360" w:after="240" w:line="276" w:lineRule="auto"/>
        <w:jc w:val="center"/>
        <w:rPr>
          <w:i/>
          <w:iCs/>
          <w:noProof/>
          <w:lang w:val="en-GB"/>
        </w:rPr>
      </w:pPr>
      <w:r w:rsidRPr="00983477">
        <w:rPr>
          <w:i/>
          <w:iCs/>
          <w:noProof/>
          <w:lang w:val="en-GB"/>
        </w:rPr>
        <w:t xml:space="preserve">Based on data </w:t>
      </w:r>
      <w:r>
        <w:rPr>
          <w:i/>
          <w:iCs/>
          <w:noProof/>
          <w:lang w:val="en-GB"/>
        </w:rPr>
        <w:t>from</w:t>
      </w:r>
      <w:r w:rsidRPr="00983477">
        <w:rPr>
          <w:i/>
          <w:iCs/>
          <w:noProof/>
          <w:lang w:val="en-GB"/>
        </w:rPr>
        <w:t xml:space="preserve"> </w:t>
      </w:r>
      <w:r w:rsidRPr="00983477">
        <w:rPr>
          <w:i/>
          <w:iCs/>
          <w:noProof/>
          <w:u w:val="single"/>
          <w:lang w:val="en-GB"/>
        </w:rPr>
        <w:t>BUSINESS DYNAMICS Power Bi</w:t>
      </w:r>
      <w:r w:rsidRPr="00983477">
        <w:rPr>
          <w:i/>
          <w:iCs/>
          <w:noProof/>
          <w:lang w:val="en-GB"/>
        </w:rPr>
        <w:t xml:space="preserve"> </w:t>
      </w:r>
      <w:r w:rsidR="008E7342">
        <w:rPr>
          <w:i/>
          <w:iCs/>
          <w:noProof/>
          <w:lang w:val="en-GB"/>
        </w:rPr>
        <w:t xml:space="preserve"> 2018- </w:t>
      </w:r>
      <w:r w:rsidRPr="00983477">
        <w:rPr>
          <w:i/>
          <w:iCs/>
          <w:noProof/>
          <w:lang w:val="en-GB"/>
        </w:rPr>
        <w:t>2021.</w:t>
      </w:r>
    </w:p>
    <w:p w14:paraId="27118499" w14:textId="5862F43B" w:rsidR="00B80A9A" w:rsidRPr="00B80A9A" w:rsidRDefault="00B80A9A" w:rsidP="00B80A9A">
      <w:pPr>
        <w:rPr>
          <w:lang w:val="en-GB"/>
        </w:rPr>
      </w:pPr>
      <w:r>
        <w:rPr>
          <w:lang w:val="en-GB"/>
        </w:rPr>
        <w:t xml:space="preserve">The Business Dynamics survey is completed every year. It collects data from business registers from around the world on registered companies, </w:t>
      </w:r>
      <w:proofErr w:type="gramStart"/>
      <w:r>
        <w:rPr>
          <w:lang w:val="en-GB"/>
        </w:rPr>
        <w:t>incorporations</w:t>
      </w:r>
      <w:proofErr w:type="gramEnd"/>
      <w:r>
        <w:rPr>
          <w:lang w:val="en-GB"/>
        </w:rPr>
        <w:t xml:space="preserve"> and terminations. </w:t>
      </w:r>
    </w:p>
    <w:p w14:paraId="2283A4C3" w14:textId="0F641D35" w:rsidR="001003F4" w:rsidRPr="001003F4" w:rsidRDefault="001003F4" w:rsidP="001003F4">
      <w:pPr>
        <w:jc w:val="center"/>
        <w:rPr>
          <w:sz w:val="24"/>
          <w:szCs w:val="24"/>
          <w:lang w:val="en-GB"/>
        </w:rPr>
      </w:pPr>
      <w:r w:rsidRPr="00F02355">
        <w:rPr>
          <w:sz w:val="24"/>
          <w:szCs w:val="24"/>
          <w:lang w:val="en-GB"/>
        </w:rPr>
        <w:t>Th</w:t>
      </w:r>
      <w:r w:rsidR="00B80A9A">
        <w:rPr>
          <w:sz w:val="24"/>
          <w:szCs w:val="24"/>
          <w:lang w:val="en-GB"/>
        </w:rPr>
        <w:t>is Key Discovery document</w:t>
      </w:r>
      <w:r w:rsidRPr="00F02355">
        <w:rPr>
          <w:sz w:val="24"/>
          <w:szCs w:val="24"/>
          <w:lang w:val="en-GB"/>
        </w:rPr>
        <w:t xml:space="preserve"> </w:t>
      </w:r>
      <w:r w:rsidR="00B80A9A">
        <w:rPr>
          <w:sz w:val="24"/>
          <w:szCs w:val="24"/>
          <w:lang w:val="en-GB"/>
        </w:rPr>
        <w:t>looks at the responses from</w:t>
      </w:r>
      <w:r w:rsidRPr="00F02355">
        <w:rPr>
          <w:sz w:val="24"/>
          <w:szCs w:val="24"/>
          <w:lang w:val="en-GB"/>
        </w:rPr>
        <w:t xml:space="preserve"> </w:t>
      </w:r>
      <w:r>
        <w:rPr>
          <w:sz w:val="24"/>
          <w:szCs w:val="24"/>
          <w:lang w:val="en-GB"/>
        </w:rPr>
        <w:t xml:space="preserve">the </w:t>
      </w:r>
      <w:r w:rsidR="008E7342">
        <w:rPr>
          <w:sz w:val="24"/>
          <w:szCs w:val="24"/>
          <w:lang w:val="en-GB"/>
        </w:rPr>
        <w:t>full number of respondents from 2018-</w:t>
      </w:r>
      <w:r>
        <w:rPr>
          <w:sz w:val="24"/>
          <w:szCs w:val="24"/>
          <w:lang w:val="en-GB"/>
        </w:rPr>
        <w:t xml:space="preserve"> </w:t>
      </w:r>
      <w:r w:rsidRPr="00F02355">
        <w:rPr>
          <w:sz w:val="24"/>
          <w:szCs w:val="24"/>
          <w:lang w:val="en-GB"/>
        </w:rPr>
        <w:t>2021</w:t>
      </w:r>
      <w:r>
        <w:rPr>
          <w:sz w:val="24"/>
          <w:szCs w:val="24"/>
          <w:lang w:val="en-GB"/>
        </w:rPr>
        <w:t>, which represent around 82 million companies.</w:t>
      </w:r>
      <w:r w:rsidR="003D3476">
        <w:rPr>
          <w:sz w:val="24"/>
          <w:szCs w:val="24"/>
          <w:lang w:val="en-GB"/>
        </w:rPr>
        <w:t xml:space="preserve"> </w:t>
      </w:r>
    </w:p>
    <w:p w14:paraId="203E6E7C" w14:textId="0BCF15CA" w:rsidR="00B039D7" w:rsidRPr="003E553E" w:rsidRDefault="00B039D7" w:rsidP="00F90B8B">
      <w:pPr>
        <w:pStyle w:val="Heading1"/>
        <w:spacing w:before="360" w:after="240" w:line="276" w:lineRule="auto"/>
        <w:rPr>
          <w:i/>
          <w:iCs/>
          <w:noProof/>
          <w:sz w:val="28"/>
          <w:szCs w:val="28"/>
          <w:lang w:val="en-GB"/>
        </w:rPr>
      </w:pPr>
      <w:r w:rsidRPr="003E553E">
        <w:rPr>
          <w:i/>
          <w:iCs/>
          <w:noProof/>
          <w:sz w:val="28"/>
          <w:szCs w:val="28"/>
          <w:lang w:val="en-GB"/>
        </w:rPr>
        <w:t>B</w:t>
      </w:r>
      <w:r w:rsidR="00F90B8B" w:rsidRPr="003E553E">
        <w:rPr>
          <w:i/>
          <w:iCs/>
          <w:noProof/>
          <w:sz w:val="28"/>
          <w:szCs w:val="28"/>
          <w:lang w:val="en-GB"/>
        </w:rPr>
        <w:t>usiness Dynamics – Registered Companies</w:t>
      </w:r>
    </w:p>
    <w:p w14:paraId="5F80221B" w14:textId="356510B2" w:rsidR="00301141" w:rsidRDefault="00B039D7" w:rsidP="001C54DF">
      <w:pPr>
        <w:pStyle w:val="ListParagraph"/>
        <w:numPr>
          <w:ilvl w:val="0"/>
          <w:numId w:val="3"/>
        </w:numPr>
        <w:spacing w:before="240" w:after="120" w:line="360" w:lineRule="auto"/>
        <w:ind w:left="283" w:hanging="357"/>
        <w:jc w:val="both"/>
        <w:rPr>
          <w:rFonts w:ascii="Calibri" w:eastAsia="Times New Roman" w:hAnsi="Calibri" w:cs="Calibri"/>
          <w:noProof/>
          <w:lang w:val="en-GB"/>
        </w:rPr>
      </w:pPr>
      <w:r w:rsidRPr="003E553E">
        <w:rPr>
          <w:rFonts w:ascii="Calibri" w:eastAsia="Times New Roman" w:hAnsi="Calibri" w:cs="Calibri"/>
          <w:noProof/>
          <w:lang w:val="en-GB"/>
        </w:rPr>
        <w:t>The number of registered companies on the registers in the responding jurisdictions has been steadily ri</w:t>
      </w:r>
      <w:r w:rsidR="00BD7E3F" w:rsidRPr="003E553E">
        <w:rPr>
          <w:rFonts w:ascii="Calibri" w:eastAsia="Times New Roman" w:hAnsi="Calibri" w:cs="Calibri"/>
          <w:noProof/>
          <w:lang w:val="en-GB"/>
        </w:rPr>
        <w:t>sing in the period 2018-202</w:t>
      </w:r>
      <w:r w:rsidR="004E286E" w:rsidRPr="003E553E">
        <w:rPr>
          <w:rFonts w:ascii="Calibri" w:eastAsia="Times New Roman" w:hAnsi="Calibri" w:cs="Calibri"/>
          <w:noProof/>
          <w:lang w:val="en-GB"/>
        </w:rPr>
        <w:t>1</w:t>
      </w:r>
      <w:r w:rsidR="00BD7E3F" w:rsidRPr="003E553E">
        <w:rPr>
          <w:rFonts w:ascii="Calibri" w:eastAsia="Times New Roman" w:hAnsi="Calibri" w:cs="Calibri"/>
          <w:noProof/>
          <w:lang w:val="en-GB"/>
        </w:rPr>
        <w:t>, regardless of development status or region</w:t>
      </w:r>
      <w:r w:rsidR="00A721F9" w:rsidRPr="003E553E">
        <w:rPr>
          <w:rFonts w:ascii="Calibri" w:eastAsia="Times New Roman" w:hAnsi="Calibri" w:cs="Calibri"/>
          <w:noProof/>
          <w:lang w:val="en-GB"/>
        </w:rPr>
        <w:t>.</w:t>
      </w:r>
    </w:p>
    <w:p w14:paraId="1E399FC0" w14:textId="77777777" w:rsidR="008E7342" w:rsidRPr="003E553E" w:rsidRDefault="008E7342" w:rsidP="008E7342">
      <w:pPr>
        <w:pStyle w:val="ListParagraph"/>
        <w:spacing w:before="240" w:after="120" w:line="360" w:lineRule="auto"/>
        <w:ind w:left="283"/>
        <w:jc w:val="both"/>
        <w:rPr>
          <w:rFonts w:ascii="Calibri" w:eastAsia="Times New Roman" w:hAnsi="Calibri" w:cs="Calibri"/>
          <w:noProof/>
          <w:lang w:val="en-GB"/>
        </w:rPr>
      </w:pPr>
    </w:p>
    <w:p w14:paraId="408111BE" w14:textId="45813811" w:rsidR="00D30547" w:rsidRDefault="00BD7E3F" w:rsidP="00D30547">
      <w:pPr>
        <w:pStyle w:val="ListParagraph"/>
        <w:numPr>
          <w:ilvl w:val="0"/>
          <w:numId w:val="3"/>
        </w:numPr>
        <w:spacing w:before="360" w:after="120" w:line="360" w:lineRule="auto"/>
        <w:ind w:left="283" w:hanging="357"/>
        <w:jc w:val="both"/>
        <w:rPr>
          <w:rFonts w:ascii="Calibri" w:eastAsia="Times New Roman" w:hAnsi="Calibri" w:cs="Calibri"/>
          <w:noProof/>
          <w:lang w:val="en-GB"/>
        </w:rPr>
      </w:pPr>
      <w:r w:rsidRPr="003E553E">
        <w:rPr>
          <w:rFonts w:ascii="Calibri" w:eastAsia="Times New Roman" w:hAnsi="Calibri" w:cs="Calibri"/>
          <w:noProof/>
          <w:lang w:val="en-GB"/>
        </w:rPr>
        <w:t xml:space="preserve">The number of registered companies on the registers in the responding jurisdictions per 1000 </w:t>
      </w:r>
      <w:r w:rsidR="008F3756" w:rsidRPr="003E553E">
        <w:rPr>
          <w:rFonts w:ascii="Calibri" w:eastAsia="Times New Roman" w:hAnsi="Calibri" w:cs="Calibri"/>
          <w:noProof/>
          <w:lang w:val="en-GB"/>
        </w:rPr>
        <w:t>inhabitants</w:t>
      </w:r>
      <w:r w:rsidRPr="003E553E">
        <w:rPr>
          <w:rFonts w:ascii="Calibri" w:eastAsia="Times New Roman" w:hAnsi="Calibri" w:cs="Calibri"/>
          <w:noProof/>
          <w:lang w:val="en-GB"/>
        </w:rPr>
        <w:t xml:space="preserve"> has also been rising regardless of development status</w:t>
      </w:r>
      <w:r w:rsidR="00A721F9" w:rsidRPr="003E553E">
        <w:rPr>
          <w:rFonts w:ascii="Calibri" w:eastAsia="Times New Roman" w:hAnsi="Calibri" w:cs="Calibri"/>
          <w:noProof/>
          <w:lang w:val="en-GB"/>
        </w:rPr>
        <w:t>.</w:t>
      </w:r>
      <w:r w:rsidR="001C54DF" w:rsidRPr="003E553E">
        <w:rPr>
          <w:rFonts w:ascii="Calibri" w:eastAsia="Times New Roman" w:hAnsi="Calibri" w:cs="Calibri"/>
          <w:noProof/>
          <w:lang w:val="en-GB"/>
        </w:rPr>
        <w:t xml:space="preserve"> </w:t>
      </w:r>
      <w:r w:rsidR="008E7342">
        <w:rPr>
          <w:rFonts w:ascii="Calibri" w:eastAsia="Times New Roman" w:hAnsi="Calibri" w:cs="Calibri"/>
          <w:noProof/>
          <w:lang w:val="en-GB"/>
        </w:rPr>
        <w:t>There is</w:t>
      </w:r>
      <w:r w:rsidR="00D30547" w:rsidRPr="003E553E">
        <w:rPr>
          <w:rFonts w:ascii="Calibri" w:eastAsia="Times New Roman" w:hAnsi="Calibri" w:cs="Calibri"/>
          <w:noProof/>
          <w:lang w:val="en-GB"/>
        </w:rPr>
        <w:t xml:space="preserve"> a stable growth rate of the number of registered companies per 1000 inhabitants in </w:t>
      </w:r>
      <w:r w:rsidR="00D30547" w:rsidRPr="003E553E">
        <w:rPr>
          <w:rFonts w:ascii="Calibri" w:eastAsia="Times New Roman" w:hAnsi="Calibri" w:cs="Calibri"/>
          <w:noProof/>
          <w:lang w:val="en-US"/>
        </w:rPr>
        <w:t>the</w:t>
      </w:r>
      <w:r w:rsidR="00D30547" w:rsidRPr="003E553E">
        <w:rPr>
          <w:rFonts w:ascii="Calibri" w:eastAsia="Times New Roman" w:hAnsi="Calibri" w:cs="Calibri"/>
          <w:noProof/>
          <w:lang w:val="mk-MK"/>
        </w:rPr>
        <w:t xml:space="preserve"> </w:t>
      </w:r>
      <w:r w:rsidR="00D30547" w:rsidRPr="003E553E">
        <w:rPr>
          <w:rFonts w:ascii="Calibri" w:eastAsia="Times New Roman" w:hAnsi="Calibri" w:cs="Calibri"/>
          <w:noProof/>
          <w:lang w:val="en-GB"/>
        </w:rPr>
        <w:t>developed countries and the countries in transition, while in the developing countries the nubmer shows considerable raise in 2021 compared to previously observed years. This growth though should be attributed to the increase of number of respond</w:t>
      </w:r>
      <w:r w:rsidR="00B71B23">
        <w:rPr>
          <w:rFonts w:ascii="Calibri" w:eastAsia="Times New Roman" w:hAnsi="Calibri" w:cs="Calibri"/>
          <w:noProof/>
          <w:lang w:val="en-GB"/>
        </w:rPr>
        <w:t>e</w:t>
      </w:r>
      <w:r w:rsidR="00D30547" w:rsidRPr="003E553E">
        <w:rPr>
          <w:rFonts w:ascii="Calibri" w:eastAsia="Times New Roman" w:hAnsi="Calibri" w:cs="Calibri"/>
          <w:noProof/>
          <w:lang w:val="en-GB"/>
        </w:rPr>
        <w:t xml:space="preserve">nt jurisdictions. </w:t>
      </w:r>
    </w:p>
    <w:p w14:paraId="6380BEE3" w14:textId="77777777" w:rsidR="008E7342" w:rsidRPr="008E7342" w:rsidRDefault="008E7342" w:rsidP="008E7342">
      <w:pPr>
        <w:pStyle w:val="ListParagraph"/>
        <w:rPr>
          <w:rFonts w:ascii="Calibri" w:eastAsia="Times New Roman" w:hAnsi="Calibri" w:cs="Calibri"/>
          <w:noProof/>
          <w:lang w:val="en-GB"/>
        </w:rPr>
      </w:pPr>
    </w:p>
    <w:p w14:paraId="388BBA8F" w14:textId="77777777" w:rsidR="008E7342" w:rsidRPr="003E553E" w:rsidRDefault="008E7342" w:rsidP="008E7342">
      <w:pPr>
        <w:pStyle w:val="ListParagraph"/>
        <w:spacing w:before="360" w:after="120" w:line="360" w:lineRule="auto"/>
        <w:ind w:left="283"/>
        <w:jc w:val="both"/>
        <w:rPr>
          <w:rFonts w:ascii="Calibri" w:eastAsia="Times New Roman" w:hAnsi="Calibri" w:cs="Calibri"/>
          <w:noProof/>
          <w:lang w:val="en-GB"/>
        </w:rPr>
      </w:pPr>
    </w:p>
    <w:p w14:paraId="5A96900C" w14:textId="7A3769E1" w:rsidR="00D30547" w:rsidRDefault="00D30547" w:rsidP="00D30547">
      <w:pPr>
        <w:pStyle w:val="ListParagraph"/>
        <w:numPr>
          <w:ilvl w:val="0"/>
          <w:numId w:val="3"/>
        </w:numPr>
        <w:spacing w:before="240" w:after="120" w:line="360" w:lineRule="auto"/>
        <w:ind w:left="284" w:hanging="357"/>
        <w:jc w:val="both"/>
        <w:rPr>
          <w:rFonts w:ascii="Calibri" w:eastAsia="Times New Roman" w:hAnsi="Calibri" w:cs="Calibri"/>
          <w:noProof/>
          <w:lang w:val="en-GB"/>
        </w:rPr>
      </w:pPr>
      <w:r w:rsidRPr="00812679">
        <w:rPr>
          <w:rFonts w:ascii="Calibri" w:eastAsia="Times New Roman" w:hAnsi="Calibri" w:cs="Calibri"/>
          <w:noProof/>
          <w:lang w:val="en-GB"/>
        </w:rPr>
        <w:t>In Europe the total number of companies has increased slightly by 1.</w:t>
      </w:r>
      <w:r w:rsidR="00B0077F">
        <w:rPr>
          <w:rFonts w:ascii="Calibri" w:eastAsia="Times New Roman" w:hAnsi="Calibri" w:cs="Calibri"/>
          <w:noProof/>
          <w:lang w:val="en-GB"/>
        </w:rPr>
        <w:t>89</w:t>
      </w:r>
      <w:r w:rsidRPr="00812679">
        <w:rPr>
          <w:rFonts w:ascii="Calibri" w:eastAsia="Times New Roman" w:hAnsi="Calibri" w:cs="Calibri"/>
          <w:noProof/>
          <w:lang w:val="en-GB"/>
        </w:rPr>
        <w:t xml:space="preserve">% in 2019-2020, and showing significant increase by </w:t>
      </w:r>
      <w:r w:rsidR="00B0077F">
        <w:rPr>
          <w:rFonts w:ascii="Calibri" w:eastAsia="Times New Roman" w:hAnsi="Calibri" w:cs="Calibri"/>
          <w:noProof/>
          <w:lang w:val="en-GB"/>
        </w:rPr>
        <w:t>9</w:t>
      </w:r>
      <w:r w:rsidRPr="00812679">
        <w:rPr>
          <w:rFonts w:ascii="Calibri" w:eastAsia="Times New Roman" w:hAnsi="Calibri" w:cs="Calibri"/>
          <w:noProof/>
          <w:lang w:val="en-GB"/>
        </w:rPr>
        <w:t>.</w:t>
      </w:r>
      <w:r w:rsidR="00B0077F">
        <w:rPr>
          <w:rFonts w:ascii="Calibri" w:eastAsia="Times New Roman" w:hAnsi="Calibri" w:cs="Calibri"/>
          <w:noProof/>
          <w:lang w:val="en-GB"/>
        </w:rPr>
        <w:t>38</w:t>
      </w:r>
      <w:r w:rsidRPr="00812679">
        <w:rPr>
          <w:rFonts w:ascii="Calibri" w:eastAsia="Times New Roman" w:hAnsi="Calibri" w:cs="Calibri"/>
          <w:noProof/>
          <w:lang w:val="en-GB"/>
        </w:rPr>
        <w:t xml:space="preserve">% in 2020-2021. </w:t>
      </w:r>
      <w:r w:rsidR="00B71B23">
        <w:rPr>
          <w:rFonts w:ascii="Calibri" w:eastAsia="Times New Roman" w:hAnsi="Calibri" w:cs="Calibri"/>
          <w:noProof/>
          <w:lang w:val="en-GB"/>
        </w:rPr>
        <w:t xml:space="preserve">For the observed period 2020-2021 </w:t>
      </w:r>
      <w:r w:rsidRPr="00812679">
        <w:rPr>
          <w:rFonts w:ascii="Calibri" w:eastAsia="Times New Roman" w:hAnsi="Calibri" w:cs="Calibri"/>
          <w:noProof/>
          <w:lang w:val="en-GB"/>
        </w:rPr>
        <w:t>Substanstial increase in LLCs and increase in private limited companies</w:t>
      </w:r>
      <w:r w:rsidR="00B0077F">
        <w:rPr>
          <w:rFonts w:ascii="Calibri" w:eastAsia="Times New Roman" w:hAnsi="Calibri" w:cs="Calibri"/>
          <w:noProof/>
          <w:lang w:val="en-GB"/>
        </w:rPr>
        <w:t xml:space="preserve"> (10%)</w:t>
      </w:r>
      <w:r w:rsidR="00B71B23">
        <w:rPr>
          <w:rFonts w:ascii="Calibri" w:eastAsia="Times New Roman" w:hAnsi="Calibri" w:cs="Calibri"/>
          <w:noProof/>
          <w:lang w:val="en-GB"/>
        </w:rPr>
        <w:t xml:space="preserve"> is shown</w:t>
      </w:r>
      <w:r w:rsidRPr="00812679">
        <w:rPr>
          <w:rFonts w:ascii="Calibri" w:eastAsia="Times New Roman" w:hAnsi="Calibri" w:cs="Calibri"/>
          <w:noProof/>
          <w:lang w:val="en-GB"/>
        </w:rPr>
        <w:t>, but decrease in other legal forms.</w:t>
      </w:r>
    </w:p>
    <w:p w14:paraId="1F319D1C" w14:textId="77777777" w:rsidR="008E7342" w:rsidRPr="00812679" w:rsidRDefault="008E7342" w:rsidP="008E7342">
      <w:pPr>
        <w:pStyle w:val="ListParagraph"/>
        <w:spacing w:before="240" w:after="120" w:line="360" w:lineRule="auto"/>
        <w:ind w:left="284"/>
        <w:jc w:val="both"/>
        <w:rPr>
          <w:rFonts w:ascii="Calibri" w:eastAsia="Times New Roman" w:hAnsi="Calibri" w:cs="Calibri"/>
          <w:noProof/>
          <w:lang w:val="en-GB"/>
        </w:rPr>
      </w:pPr>
    </w:p>
    <w:p w14:paraId="1D3E049A" w14:textId="3B09CD54" w:rsidR="00BD7E3F" w:rsidRPr="008E7342" w:rsidRDefault="00FF6224" w:rsidP="00A249FE">
      <w:pPr>
        <w:pStyle w:val="ListParagraph"/>
        <w:numPr>
          <w:ilvl w:val="0"/>
          <w:numId w:val="3"/>
        </w:numPr>
        <w:spacing w:before="240" w:after="120" w:line="360" w:lineRule="auto"/>
        <w:ind w:left="284" w:hanging="357"/>
        <w:jc w:val="both"/>
        <w:rPr>
          <w:rFonts w:ascii="Calibri" w:eastAsia="Times New Roman" w:hAnsi="Calibri" w:cs="Calibri"/>
          <w:noProof/>
          <w:lang w:val="en-GB"/>
        </w:rPr>
      </w:pPr>
      <w:r w:rsidRPr="003E553E">
        <w:rPr>
          <w:rFonts w:ascii="Calibri" w:eastAsia="Times New Roman" w:hAnsi="Calibri" w:cs="Calibri"/>
          <w:noProof/>
          <w:lang w:val="en-GB"/>
        </w:rPr>
        <w:t>We generally observe a reduction in the total number of general partnerships across jurisdictions regardless of development status</w:t>
      </w:r>
      <w:r w:rsidR="00A46B2E" w:rsidRPr="003E553E">
        <w:t xml:space="preserve"> </w:t>
      </w:r>
      <w:r w:rsidR="00D30547" w:rsidRPr="003E553E">
        <w:rPr>
          <w:rFonts w:ascii="Calibri" w:eastAsia="Times New Roman" w:hAnsi="Calibri" w:cs="Calibri"/>
          <w:noProof/>
          <w:lang w:val="en-GB"/>
        </w:rPr>
        <w:t>mostly in countries of Central America, Europe and Oceania</w:t>
      </w:r>
      <w:r w:rsidR="00D30547" w:rsidRPr="003E553E">
        <w:rPr>
          <w:rFonts w:ascii="Calibri" w:eastAsia="Times New Roman" w:hAnsi="Calibri" w:cs="Calibri"/>
          <w:noProof/>
          <w:lang w:val="mk-MK"/>
        </w:rPr>
        <w:t>.</w:t>
      </w:r>
      <w:r w:rsidR="00D30547" w:rsidRPr="003E553E">
        <w:rPr>
          <w:rFonts w:ascii="Calibri" w:eastAsia="Times New Roman" w:hAnsi="Calibri" w:cs="Calibri"/>
          <w:noProof/>
          <w:lang w:val="en-GB"/>
        </w:rPr>
        <w:t xml:space="preserve"> However, significant increase in number of registered general partnership has been witnessed with the inclusion of new respondents (Asia, North America and South America)</w:t>
      </w:r>
      <w:r w:rsidR="00A46B2E" w:rsidRPr="003E553E">
        <w:rPr>
          <w:rFonts w:ascii="Calibri" w:eastAsia="Times New Roman" w:hAnsi="Calibri" w:cs="Calibri"/>
          <w:noProof/>
          <w:lang w:val="mk-MK"/>
        </w:rPr>
        <w:t xml:space="preserve">. </w:t>
      </w:r>
    </w:p>
    <w:p w14:paraId="613A6FF4" w14:textId="77777777" w:rsidR="008E7342" w:rsidRPr="008E7342" w:rsidRDefault="008E7342" w:rsidP="008E7342">
      <w:pPr>
        <w:pStyle w:val="ListParagraph"/>
        <w:rPr>
          <w:rFonts w:ascii="Calibri" w:eastAsia="Times New Roman" w:hAnsi="Calibri" w:cs="Calibri"/>
          <w:noProof/>
          <w:lang w:val="en-GB"/>
        </w:rPr>
      </w:pPr>
    </w:p>
    <w:p w14:paraId="575B362E" w14:textId="77777777" w:rsidR="008E7342" w:rsidRPr="003E553E" w:rsidRDefault="008E7342" w:rsidP="008E7342">
      <w:pPr>
        <w:pStyle w:val="ListParagraph"/>
        <w:spacing w:before="240" w:after="120" w:line="360" w:lineRule="auto"/>
        <w:ind w:left="284"/>
        <w:jc w:val="both"/>
        <w:rPr>
          <w:rFonts w:ascii="Calibri" w:eastAsia="Times New Roman" w:hAnsi="Calibri" w:cs="Calibri"/>
          <w:noProof/>
          <w:lang w:val="en-GB"/>
        </w:rPr>
      </w:pPr>
    </w:p>
    <w:p w14:paraId="0305A039" w14:textId="249AAB5D" w:rsidR="00D30547" w:rsidRPr="00812679" w:rsidRDefault="00FF6224" w:rsidP="00D30547">
      <w:pPr>
        <w:pStyle w:val="ListParagraph"/>
        <w:numPr>
          <w:ilvl w:val="0"/>
          <w:numId w:val="3"/>
        </w:numPr>
        <w:spacing w:before="240" w:after="120" w:line="360" w:lineRule="auto"/>
        <w:ind w:left="284" w:hanging="357"/>
        <w:jc w:val="both"/>
        <w:rPr>
          <w:rFonts w:ascii="Calibri" w:eastAsia="Times New Roman" w:hAnsi="Calibri" w:cs="Calibri"/>
          <w:noProof/>
          <w:lang w:val="en-GB"/>
        </w:rPr>
      </w:pPr>
      <w:r w:rsidRPr="003E553E">
        <w:rPr>
          <w:rFonts w:ascii="Calibri" w:eastAsia="Times New Roman" w:hAnsi="Calibri" w:cs="Calibri"/>
          <w:noProof/>
          <w:lang w:val="en-GB"/>
        </w:rPr>
        <w:t xml:space="preserve">Sole traders </w:t>
      </w:r>
      <w:r w:rsidR="00D30547" w:rsidRPr="00812679">
        <w:rPr>
          <w:rFonts w:ascii="Calibri" w:eastAsia="Times New Roman" w:hAnsi="Calibri" w:cs="Calibri"/>
          <w:noProof/>
          <w:lang w:val="en-GB"/>
        </w:rPr>
        <w:t>show notable increase in developing countries and very low</w:t>
      </w:r>
      <w:r w:rsidR="00182B8F">
        <w:rPr>
          <w:rFonts w:ascii="Calibri" w:eastAsia="Times New Roman" w:hAnsi="Calibri" w:cs="Calibri"/>
          <w:noProof/>
          <w:lang w:val="en-GB"/>
        </w:rPr>
        <w:t xml:space="preserve"> decrease</w:t>
      </w:r>
      <w:r w:rsidR="00D30547" w:rsidRPr="00812679">
        <w:rPr>
          <w:rFonts w:ascii="Calibri" w:eastAsia="Times New Roman" w:hAnsi="Calibri" w:cs="Calibri"/>
          <w:noProof/>
          <w:lang w:val="en-GB"/>
        </w:rPr>
        <w:t xml:space="preserve"> in transition countries </w:t>
      </w:r>
      <w:r w:rsidR="00182B8F">
        <w:rPr>
          <w:rFonts w:ascii="Calibri" w:eastAsia="Times New Roman" w:hAnsi="Calibri" w:cs="Calibri"/>
          <w:noProof/>
          <w:lang w:val="en-GB"/>
        </w:rPr>
        <w:t>and</w:t>
      </w:r>
      <w:r w:rsidR="00D30547" w:rsidRPr="00812679">
        <w:rPr>
          <w:rFonts w:ascii="Calibri" w:eastAsia="Times New Roman" w:hAnsi="Calibri" w:cs="Calibri"/>
          <w:noProof/>
          <w:lang w:val="en-GB"/>
        </w:rPr>
        <w:t xml:space="preserve"> showing a deacrease in developed countries. This is also reflected in the total </w:t>
      </w:r>
      <w:r w:rsidR="00D30547" w:rsidRPr="00812679">
        <w:rPr>
          <w:rFonts w:ascii="Calibri" w:eastAsia="Times New Roman" w:hAnsi="Calibri" w:cs="Calibri"/>
          <w:noProof/>
          <w:lang w:val="en-GB"/>
        </w:rPr>
        <w:lastRenderedPageBreak/>
        <w:t>numbers of registered sole traders by development status: In 2021 – 1</w:t>
      </w:r>
      <w:r w:rsidR="00182B8F">
        <w:rPr>
          <w:rFonts w:ascii="Calibri" w:eastAsia="Times New Roman" w:hAnsi="Calibri" w:cs="Calibri"/>
          <w:noProof/>
          <w:lang w:val="en-GB"/>
        </w:rPr>
        <w:t>1</w:t>
      </w:r>
      <w:r w:rsidR="00D30547" w:rsidRPr="00812679">
        <w:rPr>
          <w:rFonts w:ascii="Calibri" w:eastAsia="Times New Roman" w:hAnsi="Calibri" w:cs="Calibri"/>
          <w:noProof/>
          <w:lang w:val="en-GB"/>
        </w:rPr>
        <w:t>.9</w:t>
      </w:r>
      <w:r w:rsidR="00182B8F">
        <w:rPr>
          <w:rFonts w:ascii="Calibri" w:eastAsia="Times New Roman" w:hAnsi="Calibri" w:cs="Calibri"/>
          <w:noProof/>
          <w:lang w:val="en-GB"/>
        </w:rPr>
        <w:t>4</w:t>
      </w:r>
      <w:r w:rsidR="00D30547" w:rsidRPr="00812679">
        <w:rPr>
          <w:rFonts w:ascii="Calibri" w:eastAsia="Times New Roman" w:hAnsi="Calibri" w:cs="Calibri"/>
          <w:noProof/>
          <w:lang w:val="en-GB"/>
        </w:rPr>
        <w:t xml:space="preserve"> sole traders per 1000 inhabitants in developed countries, 7.75 in developing countries, and 36.95 in transition countries.</w:t>
      </w:r>
    </w:p>
    <w:p w14:paraId="0B236977" w14:textId="12E4D1D2" w:rsidR="001D2EF3" w:rsidRDefault="005C61DA" w:rsidP="007965D0">
      <w:pPr>
        <w:pStyle w:val="ListParagraph"/>
        <w:numPr>
          <w:ilvl w:val="0"/>
          <w:numId w:val="3"/>
        </w:numPr>
        <w:spacing w:before="240" w:after="120" w:line="360" w:lineRule="auto"/>
        <w:ind w:left="284" w:hanging="357"/>
        <w:jc w:val="both"/>
        <w:rPr>
          <w:rFonts w:ascii="Calibri" w:eastAsia="Times New Roman" w:hAnsi="Calibri" w:cs="Calibri"/>
          <w:noProof/>
          <w:lang w:val="en-GB"/>
        </w:rPr>
      </w:pPr>
      <w:r w:rsidRPr="003E553E">
        <w:rPr>
          <w:rFonts w:ascii="Calibri" w:eastAsia="Times New Roman" w:hAnsi="Calibri" w:cs="Calibri"/>
          <w:noProof/>
          <w:lang w:val="en-GB"/>
        </w:rPr>
        <w:t>In developed countries we observe the highest net increase rate 20</w:t>
      </w:r>
      <w:r w:rsidR="00350E42" w:rsidRPr="003E553E">
        <w:rPr>
          <w:rFonts w:ascii="Calibri" w:eastAsia="Times New Roman" w:hAnsi="Calibri" w:cs="Calibri"/>
          <w:noProof/>
          <w:lang w:val="en-GB"/>
        </w:rPr>
        <w:t>20</w:t>
      </w:r>
      <w:r w:rsidRPr="003E553E">
        <w:rPr>
          <w:rFonts w:ascii="Calibri" w:eastAsia="Times New Roman" w:hAnsi="Calibri" w:cs="Calibri"/>
          <w:noProof/>
          <w:lang w:val="en-GB"/>
        </w:rPr>
        <w:t>-202</w:t>
      </w:r>
      <w:r w:rsidR="00350E42" w:rsidRPr="003E553E">
        <w:rPr>
          <w:rFonts w:ascii="Calibri" w:eastAsia="Times New Roman" w:hAnsi="Calibri" w:cs="Calibri"/>
          <w:noProof/>
          <w:lang w:val="en-GB"/>
        </w:rPr>
        <w:t>1</w:t>
      </w:r>
      <w:r w:rsidRPr="003E553E">
        <w:rPr>
          <w:rFonts w:ascii="Calibri" w:eastAsia="Times New Roman" w:hAnsi="Calibri" w:cs="Calibri"/>
          <w:noProof/>
          <w:lang w:val="en-GB"/>
        </w:rPr>
        <w:t xml:space="preserve"> </w:t>
      </w:r>
      <w:r w:rsidR="008F3756" w:rsidRPr="003E553E">
        <w:rPr>
          <w:rFonts w:ascii="Calibri" w:eastAsia="Times New Roman" w:hAnsi="Calibri" w:cs="Calibri"/>
          <w:noProof/>
          <w:lang w:val="en-GB"/>
        </w:rPr>
        <w:t xml:space="preserve">for total number of </w:t>
      </w:r>
      <w:r w:rsidRPr="003E553E">
        <w:rPr>
          <w:rFonts w:ascii="Calibri" w:eastAsia="Times New Roman" w:hAnsi="Calibri" w:cs="Calibri"/>
          <w:noProof/>
          <w:lang w:val="en-GB"/>
        </w:rPr>
        <w:t xml:space="preserve"> LLCs</w:t>
      </w:r>
      <w:r w:rsidR="008F3756" w:rsidRPr="003E553E">
        <w:rPr>
          <w:rFonts w:ascii="Calibri" w:eastAsia="Times New Roman" w:hAnsi="Calibri" w:cs="Calibri"/>
          <w:noProof/>
          <w:lang w:val="en-GB"/>
        </w:rPr>
        <w:t xml:space="preserve"> </w:t>
      </w:r>
      <w:r w:rsidR="00B71B23">
        <w:rPr>
          <w:rFonts w:ascii="Calibri" w:eastAsia="Times New Roman" w:hAnsi="Calibri" w:cs="Calibri"/>
          <w:noProof/>
          <w:lang w:val="en-GB"/>
        </w:rPr>
        <w:t xml:space="preserve">and private limited companies </w:t>
      </w:r>
      <w:r w:rsidR="008F3756" w:rsidRPr="003E553E">
        <w:rPr>
          <w:rFonts w:ascii="Calibri" w:eastAsia="Times New Roman" w:hAnsi="Calibri" w:cs="Calibri"/>
          <w:noProof/>
          <w:lang w:val="en-GB"/>
        </w:rPr>
        <w:t>compared to other legal forms</w:t>
      </w:r>
      <w:r w:rsidR="00D30547" w:rsidRPr="003E553E">
        <w:rPr>
          <w:rFonts w:ascii="Calibri" w:eastAsia="Times New Roman" w:hAnsi="Calibri" w:cs="Calibri"/>
          <w:noProof/>
          <w:lang w:val="en-GB"/>
        </w:rPr>
        <w:t xml:space="preserve">, </w:t>
      </w:r>
      <w:r w:rsidR="00182B8F">
        <w:rPr>
          <w:rFonts w:ascii="Calibri" w:eastAsia="Times New Roman" w:hAnsi="Calibri" w:cs="Calibri"/>
          <w:noProof/>
          <w:lang w:val="en-GB"/>
        </w:rPr>
        <w:t>92</w:t>
      </w:r>
      <w:r w:rsidR="00D30547" w:rsidRPr="003E553E">
        <w:rPr>
          <w:rFonts w:ascii="Calibri" w:eastAsia="Times New Roman" w:hAnsi="Calibri" w:cs="Calibri"/>
          <w:noProof/>
          <w:lang w:val="en-GB"/>
        </w:rPr>
        <w:t xml:space="preserve">% and </w:t>
      </w:r>
      <w:r w:rsidR="00B71B23">
        <w:rPr>
          <w:rFonts w:ascii="Calibri" w:eastAsia="Times New Roman" w:hAnsi="Calibri" w:cs="Calibri"/>
          <w:noProof/>
          <w:lang w:val="en-GB"/>
        </w:rPr>
        <w:t>16</w:t>
      </w:r>
      <w:r w:rsidR="00D30547" w:rsidRPr="003E553E">
        <w:rPr>
          <w:rFonts w:ascii="Calibri" w:eastAsia="Times New Roman" w:hAnsi="Calibri" w:cs="Calibri"/>
          <w:noProof/>
          <w:lang w:val="en-GB"/>
        </w:rPr>
        <w:t>% respectivley</w:t>
      </w:r>
      <w:r w:rsidR="00A249FE" w:rsidRPr="003E553E">
        <w:rPr>
          <w:rFonts w:ascii="Calibri" w:eastAsia="Times New Roman" w:hAnsi="Calibri" w:cs="Calibri"/>
          <w:noProof/>
          <w:lang w:val="en-GB"/>
        </w:rPr>
        <w:t>.</w:t>
      </w:r>
    </w:p>
    <w:p w14:paraId="22A53B0F" w14:textId="77777777" w:rsidR="008E7342" w:rsidRDefault="008E7342" w:rsidP="008E7342">
      <w:pPr>
        <w:pStyle w:val="ListParagraph"/>
        <w:spacing w:before="240" w:after="120" w:line="360" w:lineRule="auto"/>
        <w:ind w:left="284"/>
        <w:jc w:val="both"/>
        <w:rPr>
          <w:rFonts w:ascii="Calibri" w:eastAsia="Times New Roman" w:hAnsi="Calibri" w:cs="Calibri"/>
          <w:noProof/>
          <w:lang w:val="en-GB"/>
        </w:rPr>
      </w:pPr>
    </w:p>
    <w:p w14:paraId="4C66217A" w14:textId="26E63F46" w:rsidR="00B71B23" w:rsidRDefault="00B71B23" w:rsidP="007965D0">
      <w:pPr>
        <w:pStyle w:val="ListParagraph"/>
        <w:numPr>
          <w:ilvl w:val="0"/>
          <w:numId w:val="3"/>
        </w:numPr>
        <w:spacing w:before="240" w:after="120" w:line="360" w:lineRule="auto"/>
        <w:ind w:left="284" w:hanging="357"/>
        <w:jc w:val="both"/>
        <w:rPr>
          <w:rFonts w:ascii="Calibri" w:eastAsia="Times New Roman" w:hAnsi="Calibri" w:cs="Calibri"/>
          <w:noProof/>
          <w:lang w:val="en-GB"/>
        </w:rPr>
      </w:pPr>
      <w:r>
        <w:rPr>
          <w:rFonts w:ascii="Calibri" w:eastAsia="Times New Roman" w:hAnsi="Calibri" w:cs="Calibri"/>
          <w:noProof/>
          <w:lang w:val="en-GB"/>
        </w:rPr>
        <w:t>Significant raise of the variation for</w:t>
      </w:r>
      <w:r w:rsidR="00FC252E">
        <w:rPr>
          <w:rFonts w:ascii="Calibri" w:eastAsia="Times New Roman" w:hAnsi="Calibri" w:cs="Calibri"/>
          <w:noProof/>
          <w:lang w:val="en-GB"/>
        </w:rPr>
        <w:t xml:space="preserve"> the period</w:t>
      </w:r>
      <w:r>
        <w:rPr>
          <w:rFonts w:ascii="Calibri" w:eastAsia="Times New Roman" w:hAnsi="Calibri" w:cs="Calibri"/>
          <w:noProof/>
          <w:lang w:val="en-GB"/>
        </w:rPr>
        <w:t xml:space="preserve"> 2020 – 2021 </w:t>
      </w:r>
      <w:r w:rsidR="00FC252E">
        <w:rPr>
          <w:rFonts w:ascii="Calibri" w:eastAsia="Times New Roman" w:hAnsi="Calibri" w:cs="Calibri"/>
          <w:noProof/>
          <w:lang w:val="en-GB"/>
        </w:rPr>
        <w:t xml:space="preserve">is shown </w:t>
      </w:r>
      <w:r>
        <w:rPr>
          <w:rFonts w:ascii="Calibri" w:eastAsia="Times New Roman" w:hAnsi="Calibri" w:cs="Calibri"/>
          <w:noProof/>
          <w:lang w:val="en-GB"/>
        </w:rPr>
        <w:t>of all legal forms in the developing countries compared to previous observed periods.</w:t>
      </w:r>
    </w:p>
    <w:p w14:paraId="0B182443" w14:textId="77777777" w:rsidR="008E7342" w:rsidRPr="008E7342" w:rsidRDefault="008E7342" w:rsidP="008E7342">
      <w:pPr>
        <w:pStyle w:val="ListParagraph"/>
        <w:rPr>
          <w:rFonts w:ascii="Calibri" w:eastAsia="Times New Roman" w:hAnsi="Calibri" w:cs="Calibri"/>
          <w:noProof/>
          <w:lang w:val="en-GB"/>
        </w:rPr>
      </w:pPr>
    </w:p>
    <w:p w14:paraId="5EC01CA7" w14:textId="77777777" w:rsidR="008E7342" w:rsidRDefault="008E7342" w:rsidP="008E7342">
      <w:pPr>
        <w:pStyle w:val="ListParagraph"/>
        <w:spacing w:before="240" w:after="120" w:line="360" w:lineRule="auto"/>
        <w:ind w:left="284"/>
        <w:jc w:val="both"/>
        <w:rPr>
          <w:rFonts w:ascii="Calibri" w:eastAsia="Times New Roman" w:hAnsi="Calibri" w:cs="Calibri"/>
          <w:noProof/>
          <w:lang w:val="en-GB"/>
        </w:rPr>
      </w:pPr>
    </w:p>
    <w:p w14:paraId="6A1637F2" w14:textId="74DFE2E6" w:rsidR="00675DF4" w:rsidRPr="003E553E" w:rsidRDefault="00675DF4" w:rsidP="007965D0">
      <w:pPr>
        <w:pStyle w:val="ListParagraph"/>
        <w:numPr>
          <w:ilvl w:val="0"/>
          <w:numId w:val="3"/>
        </w:numPr>
        <w:spacing w:before="240" w:after="120" w:line="360" w:lineRule="auto"/>
        <w:ind w:left="284" w:hanging="357"/>
        <w:jc w:val="both"/>
        <w:rPr>
          <w:rFonts w:ascii="Calibri" w:eastAsia="Times New Roman" w:hAnsi="Calibri" w:cs="Calibri"/>
          <w:noProof/>
          <w:lang w:val="en-GB"/>
        </w:rPr>
      </w:pPr>
      <w:r>
        <w:rPr>
          <w:rFonts w:ascii="Calibri" w:eastAsia="Times New Roman" w:hAnsi="Calibri" w:cs="Calibri"/>
          <w:noProof/>
          <w:lang w:val="en-GB"/>
        </w:rPr>
        <w:t>The number of LLCs is growing stead</w:t>
      </w:r>
      <w:r w:rsidR="008E7342">
        <w:rPr>
          <w:rFonts w:ascii="Calibri" w:eastAsia="Times New Roman" w:hAnsi="Calibri" w:cs="Calibri"/>
          <w:noProof/>
          <w:lang w:val="en-GB"/>
        </w:rPr>
        <w:t>ily</w:t>
      </w:r>
      <w:r>
        <w:rPr>
          <w:rFonts w:ascii="Calibri" w:eastAsia="Times New Roman" w:hAnsi="Calibri" w:cs="Calibri"/>
          <w:noProof/>
          <w:lang w:val="en-GB"/>
        </w:rPr>
        <w:t xml:space="preserve"> in transition and developing countries by years and with much bigger increasy of the number in developed countries if we observe the numbers per 1000 inhabitants by the development statu</w:t>
      </w:r>
      <w:r w:rsidR="00AE203F">
        <w:rPr>
          <w:rFonts w:ascii="Calibri" w:eastAsia="Times New Roman" w:hAnsi="Calibri" w:cs="Calibri"/>
          <w:noProof/>
          <w:lang w:val="en-GB"/>
        </w:rPr>
        <w:t>s.</w:t>
      </w:r>
    </w:p>
    <w:p w14:paraId="029383BC" w14:textId="051A9640" w:rsidR="00953683" w:rsidRPr="003E553E" w:rsidRDefault="001D2EF3" w:rsidP="00F90B8B">
      <w:pPr>
        <w:pStyle w:val="Heading1"/>
        <w:spacing w:before="360" w:after="240" w:line="276" w:lineRule="auto"/>
        <w:rPr>
          <w:i/>
          <w:iCs/>
          <w:noProof/>
          <w:sz w:val="28"/>
          <w:szCs w:val="28"/>
          <w:lang w:val="en-GB"/>
        </w:rPr>
      </w:pPr>
      <w:r w:rsidRPr="003E553E">
        <w:rPr>
          <w:i/>
          <w:iCs/>
          <w:noProof/>
          <w:sz w:val="28"/>
          <w:szCs w:val="28"/>
          <w:lang w:val="en-GB"/>
        </w:rPr>
        <w:t>B</w:t>
      </w:r>
      <w:r w:rsidR="00F90B8B" w:rsidRPr="003E553E">
        <w:rPr>
          <w:i/>
          <w:iCs/>
          <w:noProof/>
          <w:sz w:val="28"/>
          <w:szCs w:val="28"/>
          <w:lang w:val="en-GB"/>
        </w:rPr>
        <w:t>usiness Dynamics - Incorporations</w:t>
      </w:r>
    </w:p>
    <w:p w14:paraId="7A8D2A91" w14:textId="16B3BA47" w:rsidR="00651B63" w:rsidRDefault="00651B63" w:rsidP="0054181D">
      <w:pPr>
        <w:pStyle w:val="ListParagraph"/>
        <w:numPr>
          <w:ilvl w:val="0"/>
          <w:numId w:val="3"/>
        </w:numPr>
        <w:spacing w:before="240" w:after="120" w:line="360" w:lineRule="auto"/>
        <w:ind w:left="284" w:hanging="357"/>
        <w:jc w:val="both"/>
        <w:rPr>
          <w:rFonts w:ascii="Calibri" w:eastAsia="Times New Roman" w:hAnsi="Calibri" w:cs="Calibri"/>
          <w:noProof/>
          <w:lang w:val="en-GB"/>
        </w:rPr>
      </w:pPr>
      <w:r w:rsidRPr="00083C87">
        <w:rPr>
          <w:rFonts w:ascii="Calibri" w:eastAsia="Times New Roman" w:hAnsi="Calibri" w:cs="Calibri"/>
          <w:noProof/>
          <w:lang w:val="en-GB"/>
        </w:rPr>
        <w:t xml:space="preserve">New incorporations have been </w:t>
      </w:r>
      <w:r w:rsidR="00083C87" w:rsidRPr="00083C87">
        <w:rPr>
          <w:rFonts w:ascii="Calibri" w:eastAsia="Times New Roman" w:hAnsi="Calibri" w:cs="Calibri"/>
          <w:noProof/>
          <w:lang w:val="en-GB"/>
        </w:rPr>
        <w:t xml:space="preserve">steadily </w:t>
      </w:r>
      <w:r w:rsidRPr="00083C87">
        <w:rPr>
          <w:rFonts w:ascii="Calibri" w:eastAsia="Times New Roman" w:hAnsi="Calibri" w:cs="Calibri"/>
          <w:noProof/>
          <w:lang w:val="en-GB"/>
        </w:rPr>
        <w:t>rising</w:t>
      </w:r>
      <w:r w:rsidR="00FE3AC6">
        <w:rPr>
          <w:rFonts w:ascii="Calibri" w:eastAsia="Times New Roman" w:hAnsi="Calibri" w:cs="Calibri"/>
          <w:noProof/>
          <w:lang w:val="en-GB"/>
        </w:rPr>
        <w:t xml:space="preserve"> in total numbers</w:t>
      </w:r>
      <w:r w:rsidR="000F7A18">
        <w:rPr>
          <w:rFonts w:ascii="Calibri" w:eastAsia="Times New Roman" w:hAnsi="Calibri" w:cs="Calibri"/>
          <w:noProof/>
          <w:lang w:val="en-GB"/>
        </w:rPr>
        <w:t xml:space="preserve"> for</w:t>
      </w:r>
      <w:r w:rsidR="00FC1723">
        <w:rPr>
          <w:rFonts w:ascii="Calibri" w:eastAsia="Times New Roman" w:hAnsi="Calibri" w:cs="Calibri"/>
          <w:noProof/>
          <w:lang w:val="en-GB"/>
        </w:rPr>
        <w:t xml:space="preserve"> the observed period (2018 – 2021)</w:t>
      </w:r>
      <w:r w:rsidRPr="00083C87">
        <w:rPr>
          <w:rFonts w:ascii="Calibri" w:eastAsia="Times New Roman" w:hAnsi="Calibri" w:cs="Calibri"/>
          <w:noProof/>
          <w:lang w:val="en-GB"/>
        </w:rPr>
        <w:t xml:space="preserve"> </w:t>
      </w:r>
      <w:r w:rsidR="00083C87" w:rsidRPr="00083C87">
        <w:rPr>
          <w:rFonts w:ascii="Calibri" w:eastAsia="Times New Roman" w:hAnsi="Calibri" w:cs="Calibri"/>
          <w:noProof/>
          <w:lang w:val="en-GB"/>
        </w:rPr>
        <w:t xml:space="preserve">in jurisdictions </w:t>
      </w:r>
      <w:r w:rsidR="00FB64EB">
        <w:rPr>
          <w:rFonts w:ascii="Calibri" w:eastAsia="Times New Roman" w:hAnsi="Calibri" w:cs="Calibri"/>
          <w:noProof/>
          <w:lang w:val="en-GB"/>
        </w:rPr>
        <w:t>by their</w:t>
      </w:r>
      <w:r w:rsidR="00083C87" w:rsidRPr="00FC1723">
        <w:rPr>
          <w:rFonts w:ascii="Calibri" w:eastAsia="Times New Roman" w:hAnsi="Calibri" w:cs="Calibri"/>
          <w:noProof/>
          <w:lang w:val="en-GB"/>
        </w:rPr>
        <w:t xml:space="preserve"> development status</w:t>
      </w:r>
      <w:r w:rsidR="00083C87">
        <w:rPr>
          <w:rFonts w:ascii="Calibri" w:eastAsia="Times New Roman" w:hAnsi="Calibri" w:cs="Calibri"/>
          <w:noProof/>
          <w:lang w:val="en-GB"/>
        </w:rPr>
        <w:t>.</w:t>
      </w:r>
    </w:p>
    <w:p w14:paraId="337248B0" w14:textId="77777777" w:rsidR="008E7342" w:rsidRPr="00083C87" w:rsidRDefault="008E7342" w:rsidP="008E7342">
      <w:pPr>
        <w:pStyle w:val="ListParagraph"/>
        <w:spacing w:before="240" w:after="120" w:line="360" w:lineRule="auto"/>
        <w:ind w:left="284"/>
        <w:jc w:val="both"/>
        <w:rPr>
          <w:rFonts w:ascii="Calibri" w:eastAsia="Times New Roman" w:hAnsi="Calibri" w:cs="Calibri"/>
          <w:noProof/>
          <w:lang w:val="en-GB"/>
        </w:rPr>
      </w:pPr>
    </w:p>
    <w:p w14:paraId="38B9FDC7" w14:textId="0F8A60E1" w:rsidR="008E7342" w:rsidRPr="008E7342" w:rsidRDefault="00331AC3" w:rsidP="008E7342">
      <w:pPr>
        <w:pStyle w:val="ListParagraph"/>
        <w:numPr>
          <w:ilvl w:val="0"/>
          <w:numId w:val="3"/>
        </w:numPr>
        <w:spacing w:before="240" w:after="120" w:line="360" w:lineRule="auto"/>
        <w:ind w:left="284" w:hanging="357"/>
        <w:rPr>
          <w:rFonts w:ascii="Calibri" w:eastAsia="Times New Roman" w:hAnsi="Calibri" w:cs="Calibri"/>
          <w:noProof/>
          <w:lang w:val="en-GB"/>
        </w:rPr>
      </w:pPr>
      <w:r w:rsidRPr="003E553E">
        <w:rPr>
          <w:rFonts w:ascii="Calibri" w:eastAsia="Times New Roman" w:hAnsi="Calibri" w:cs="Calibri"/>
          <w:noProof/>
          <w:lang w:val="en-GB"/>
        </w:rPr>
        <w:t xml:space="preserve">We observe </w:t>
      </w:r>
      <w:r w:rsidR="00000A0F" w:rsidRPr="003E553E">
        <w:rPr>
          <w:rFonts w:ascii="Calibri" w:eastAsia="Times New Roman" w:hAnsi="Calibri" w:cs="Calibri"/>
          <w:noProof/>
          <w:lang w:val="en-GB"/>
        </w:rPr>
        <w:t xml:space="preserve">decending </w:t>
      </w:r>
      <w:r w:rsidRPr="003E553E">
        <w:rPr>
          <w:rFonts w:ascii="Calibri" w:eastAsia="Times New Roman" w:hAnsi="Calibri" w:cs="Calibri"/>
          <w:noProof/>
          <w:lang w:val="en-GB"/>
        </w:rPr>
        <w:t xml:space="preserve">growth rate </w:t>
      </w:r>
      <w:r w:rsidR="00FB64EB">
        <w:rPr>
          <w:rFonts w:ascii="Calibri" w:eastAsia="Times New Roman" w:hAnsi="Calibri" w:cs="Calibri"/>
          <w:noProof/>
          <w:lang w:val="en-GB"/>
        </w:rPr>
        <w:t xml:space="preserve">in the varition </w:t>
      </w:r>
      <w:r w:rsidRPr="003E553E">
        <w:rPr>
          <w:rFonts w:ascii="Calibri" w:eastAsia="Times New Roman" w:hAnsi="Calibri" w:cs="Calibri"/>
          <w:noProof/>
          <w:lang w:val="en-GB"/>
        </w:rPr>
        <w:t>of incorporations 20</w:t>
      </w:r>
      <w:r w:rsidR="00000A0F" w:rsidRPr="003E553E">
        <w:rPr>
          <w:rFonts w:ascii="Calibri" w:eastAsia="Times New Roman" w:hAnsi="Calibri" w:cs="Calibri"/>
          <w:noProof/>
          <w:lang w:val="en-GB"/>
        </w:rPr>
        <w:t>20</w:t>
      </w:r>
      <w:r w:rsidRPr="003E553E">
        <w:rPr>
          <w:rFonts w:ascii="Calibri" w:eastAsia="Times New Roman" w:hAnsi="Calibri" w:cs="Calibri"/>
          <w:noProof/>
          <w:lang w:val="en-GB"/>
        </w:rPr>
        <w:t>-202</w:t>
      </w:r>
      <w:r w:rsidR="00000A0F" w:rsidRPr="003E553E">
        <w:rPr>
          <w:rFonts w:ascii="Calibri" w:eastAsia="Times New Roman" w:hAnsi="Calibri" w:cs="Calibri"/>
          <w:noProof/>
          <w:lang w:val="en-GB"/>
        </w:rPr>
        <w:t>1</w:t>
      </w:r>
      <w:r w:rsidRPr="003E553E">
        <w:rPr>
          <w:rFonts w:ascii="Calibri" w:eastAsia="Times New Roman" w:hAnsi="Calibri" w:cs="Calibri"/>
          <w:noProof/>
          <w:lang w:val="en-GB"/>
        </w:rPr>
        <w:t xml:space="preserve"> compared to 20</w:t>
      </w:r>
      <w:r w:rsidR="00000A0F" w:rsidRPr="003E553E">
        <w:rPr>
          <w:rFonts w:ascii="Calibri" w:eastAsia="Times New Roman" w:hAnsi="Calibri" w:cs="Calibri"/>
          <w:noProof/>
          <w:lang w:val="en-GB"/>
        </w:rPr>
        <w:t>19</w:t>
      </w:r>
      <w:r w:rsidRPr="003E553E">
        <w:rPr>
          <w:rFonts w:ascii="Calibri" w:eastAsia="Times New Roman" w:hAnsi="Calibri" w:cs="Calibri"/>
          <w:noProof/>
          <w:lang w:val="en-GB"/>
        </w:rPr>
        <w:t>-20</w:t>
      </w:r>
      <w:r w:rsidR="00000A0F" w:rsidRPr="003E553E">
        <w:rPr>
          <w:rFonts w:ascii="Calibri" w:eastAsia="Times New Roman" w:hAnsi="Calibri" w:cs="Calibri"/>
          <w:noProof/>
          <w:lang w:val="en-GB"/>
        </w:rPr>
        <w:t>20</w:t>
      </w:r>
      <w:r w:rsidRPr="003E553E">
        <w:rPr>
          <w:rFonts w:ascii="Calibri" w:eastAsia="Times New Roman" w:hAnsi="Calibri" w:cs="Calibri"/>
          <w:noProof/>
          <w:lang w:val="en-GB"/>
        </w:rPr>
        <w:t xml:space="preserve"> only in jurisdictions in transition.</w:t>
      </w:r>
      <w:r w:rsidR="008E7342">
        <w:rPr>
          <w:rFonts w:ascii="Calibri" w:eastAsia="Times New Roman" w:hAnsi="Calibri" w:cs="Calibri"/>
          <w:noProof/>
          <w:lang w:val="en-GB"/>
        </w:rPr>
        <w:br/>
      </w:r>
    </w:p>
    <w:p w14:paraId="70005771" w14:textId="08601C21" w:rsidR="00331AC3" w:rsidRDefault="00331AC3" w:rsidP="005E77A7">
      <w:pPr>
        <w:pStyle w:val="ListParagraph"/>
        <w:numPr>
          <w:ilvl w:val="0"/>
          <w:numId w:val="3"/>
        </w:numPr>
        <w:spacing w:before="240" w:after="120" w:line="360" w:lineRule="auto"/>
        <w:ind w:left="283" w:hanging="357"/>
        <w:jc w:val="both"/>
        <w:rPr>
          <w:rFonts w:ascii="Calibri" w:eastAsia="Times New Roman" w:hAnsi="Calibri" w:cs="Calibri"/>
          <w:noProof/>
          <w:lang w:val="en-GB"/>
        </w:rPr>
      </w:pPr>
      <w:r w:rsidRPr="003E553E">
        <w:rPr>
          <w:rFonts w:ascii="Calibri" w:eastAsia="Times New Roman" w:hAnsi="Calibri" w:cs="Calibri"/>
          <w:noProof/>
          <w:lang w:val="en-GB"/>
        </w:rPr>
        <w:t>New incorporations have also been rising regardless of geographical region</w:t>
      </w:r>
      <w:r w:rsidR="0036244E" w:rsidRPr="003E553E">
        <w:rPr>
          <w:rFonts w:ascii="Calibri" w:eastAsia="Times New Roman" w:hAnsi="Calibri" w:cs="Calibri"/>
          <w:noProof/>
          <w:lang w:val="en-GB"/>
        </w:rPr>
        <w:t>, except for South America were new incorporation have been decreasing.</w:t>
      </w:r>
      <w:r w:rsidRPr="003E553E">
        <w:rPr>
          <w:rFonts w:ascii="Calibri" w:eastAsia="Times New Roman" w:hAnsi="Calibri" w:cs="Calibri"/>
          <w:noProof/>
          <w:lang w:val="en-GB"/>
        </w:rPr>
        <w:t xml:space="preserve"> </w:t>
      </w:r>
    </w:p>
    <w:p w14:paraId="42E91C2F" w14:textId="77777777" w:rsidR="008E7342" w:rsidRPr="003E553E" w:rsidRDefault="008E7342" w:rsidP="008E7342">
      <w:pPr>
        <w:pStyle w:val="ListParagraph"/>
        <w:spacing w:before="240" w:after="120" w:line="360" w:lineRule="auto"/>
        <w:ind w:left="283"/>
        <w:jc w:val="both"/>
        <w:rPr>
          <w:rFonts w:ascii="Calibri" w:eastAsia="Times New Roman" w:hAnsi="Calibri" w:cs="Calibri"/>
          <w:noProof/>
          <w:lang w:val="en-GB"/>
        </w:rPr>
      </w:pPr>
    </w:p>
    <w:p w14:paraId="6E44D809" w14:textId="0673F1B3" w:rsidR="008E7342" w:rsidRPr="008E7342" w:rsidRDefault="00D52861" w:rsidP="008E7342">
      <w:pPr>
        <w:pStyle w:val="ListParagraph"/>
        <w:numPr>
          <w:ilvl w:val="0"/>
          <w:numId w:val="3"/>
        </w:numPr>
        <w:spacing w:before="240" w:after="120" w:line="360" w:lineRule="auto"/>
        <w:ind w:left="284" w:hanging="357"/>
        <w:rPr>
          <w:rFonts w:ascii="Calibri" w:eastAsia="Times New Roman" w:hAnsi="Calibri" w:cs="Calibri"/>
          <w:noProof/>
          <w:lang w:val="en-GB"/>
        </w:rPr>
      </w:pPr>
      <w:r w:rsidRPr="003E553E">
        <w:rPr>
          <w:rFonts w:ascii="Calibri" w:eastAsia="Times New Roman" w:hAnsi="Calibri" w:cs="Calibri"/>
          <w:noProof/>
          <w:lang w:val="en-GB"/>
        </w:rPr>
        <w:t xml:space="preserve">In responses from European jurisdictions we see a </w:t>
      </w:r>
      <w:r w:rsidR="00D30547" w:rsidRPr="003E553E">
        <w:rPr>
          <w:rFonts w:ascii="Calibri" w:eastAsia="Times New Roman" w:hAnsi="Calibri" w:cs="Calibri"/>
          <w:noProof/>
          <w:lang w:val="en-GB"/>
        </w:rPr>
        <w:t>de</w:t>
      </w:r>
      <w:r w:rsidRPr="003E553E">
        <w:rPr>
          <w:rFonts w:ascii="Calibri" w:eastAsia="Times New Roman" w:hAnsi="Calibri" w:cs="Calibri"/>
          <w:noProof/>
          <w:lang w:val="en-GB"/>
        </w:rPr>
        <w:t>crease (2018-202</w:t>
      </w:r>
      <w:r w:rsidR="0036244E" w:rsidRPr="003E553E">
        <w:rPr>
          <w:rFonts w:ascii="Calibri" w:eastAsia="Times New Roman" w:hAnsi="Calibri" w:cs="Calibri"/>
          <w:noProof/>
          <w:lang w:val="en-GB"/>
        </w:rPr>
        <w:t>1</w:t>
      </w:r>
      <w:r w:rsidRPr="003E553E">
        <w:rPr>
          <w:rFonts w:ascii="Calibri" w:eastAsia="Times New Roman" w:hAnsi="Calibri" w:cs="Calibri"/>
          <w:noProof/>
          <w:lang w:val="en-GB"/>
        </w:rPr>
        <w:t>) in new incorporations for sole traders,</w:t>
      </w:r>
      <w:r w:rsidR="00D30547" w:rsidRPr="003E553E">
        <w:rPr>
          <w:rFonts w:ascii="Calibri" w:eastAsia="Times New Roman" w:hAnsi="Calibri" w:cs="Calibri"/>
          <w:noProof/>
          <w:lang w:val="en-GB"/>
        </w:rPr>
        <w:t xml:space="preserve"> general partnership and public</w:t>
      </w:r>
      <w:r w:rsidRPr="003E553E">
        <w:rPr>
          <w:rFonts w:ascii="Calibri" w:eastAsia="Times New Roman" w:hAnsi="Calibri" w:cs="Calibri"/>
          <w:noProof/>
          <w:lang w:val="en-GB"/>
        </w:rPr>
        <w:t xml:space="preserve"> limited companies, and a </w:t>
      </w:r>
      <w:r w:rsidR="00D30547" w:rsidRPr="003E553E">
        <w:rPr>
          <w:rFonts w:ascii="Calibri" w:eastAsia="Times New Roman" w:hAnsi="Calibri" w:cs="Calibri"/>
          <w:noProof/>
          <w:lang w:val="en-GB"/>
        </w:rPr>
        <w:t>notable in</w:t>
      </w:r>
      <w:r w:rsidRPr="003E553E">
        <w:rPr>
          <w:rFonts w:ascii="Calibri" w:eastAsia="Times New Roman" w:hAnsi="Calibri" w:cs="Calibri"/>
          <w:noProof/>
          <w:lang w:val="en-GB"/>
        </w:rPr>
        <w:t>crease in LLCs</w:t>
      </w:r>
      <w:r w:rsidR="00D30547" w:rsidRPr="003E553E">
        <w:rPr>
          <w:rFonts w:ascii="Calibri" w:eastAsia="Times New Roman" w:hAnsi="Calibri" w:cs="Calibri"/>
          <w:noProof/>
          <w:lang w:val="en-GB"/>
        </w:rPr>
        <w:t xml:space="preserve"> and private limited companies</w:t>
      </w:r>
      <w:r w:rsidRPr="003E553E">
        <w:rPr>
          <w:rFonts w:ascii="Calibri" w:eastAsia="Times New Roman" w:hAnsi="Calibri" w:cs="Calibri"/>
          <w:noProof/>
          <w:lang w:val="en-GB"/>
        </w:rPr>
        <w:t>.</w:t>
      </w:r>
      <w:r w:rsidR="008E7342">
        <w:rPr>
          <w:rFonts w:ascii="Calibri" w:eastAsia="Times New Roman" w:hAnsi="Calibri" w:cs="Calibri"/>
          <w:noProof/>
          <w:lang w:val="en-GB"/>
        </w:rPr>
        <w:br/>
      </w:r>
    </w:p>
    <w:p w14:paraId="66F87DCC" w14:textId="7CCED95A" w:rsidR="008625E5" w:rsidRPr="008E7342" w:rsidRDefault="008625E5" w:rsidP="007D378D">
      <w:pPr>
        <w:pStyle w:val="ListParagraph"/>
        <w:numPr>
          <w:ilvl w:val="0"/>
          <w:numId w:val="3"/>
        </w:numPr>
        <w:spacing w:before="360" w:after="120" w:line="360" w:lineRule="auto"/>
        <w:ind w:left="283" w:hanging="357"/>
        <w:jc w:val="both"/>
        <w:rPr>
          <w:rFonts w:ascii="Calibri" w:eastAsia="Times New Roman" w:hAnsi="Calibri" w:cs="Calibri"/>
          <w:noProof/>
          <w:lang w:val="en-GB"/>
        </w:rPr>
      </w:pPr>
      <w:r w:rsidRPr="003E553E">
        <w:rPr>
          <w:lang w:val="en-GB"/>
        </w:rPr>
        <w:t>However, in Europe we observe a lower growth rate for 2019-2020 (1.24%) as compared to 2018-2019 (6.67%).</w:t>
      </w:r>
    </w:p>
    <w:p w14:paraId="50BF3D3D" w14:textId="77777777" w:rsidR="008E7342" w:rsidRPr="003E553E" w:rsidRDefault="008E7342" w:rsidP="008E7342">
      <w:pPr>
        <w:pStyle w:val="ListParagraph"/>
        <w:spacing w:before="360" w:after="120" w:line="360" w:lineRule="auto"/>
        <w:ind w:left="283"/>
        <w:jc w:val="both"/>
        <w:rPr>
          <w:rFonts w:ascii="Calibri" w:eastAsia="Times New Roman" w:hAnsi="Calibri" w:cs="Calibri"/>
          <w:noProof/>
          <w:lang w:val="en-GB"/>
        </w:rPr>
      </w:pPr>
    </w:p>
    <w:p w14:paraId="072AB9ED" w14:textId="10DD67EE" w:rsidR="007D378D" w:rsidRPr="003E553E" w:rsidRDefault="0036346B" w:rsidP="007D378D">
      <w:pPr>
        <w:pStyle w:val="ListParagraph"/>
        <w:numPr>
          <w:ilvl w:val="0"/>
          <w:numId w:val="3"/>
        </w:numPr>
        <w:spacing w:before="360" w:after="120" w:line="360" w:lineRule="auto"/>
        <w:ind w:left="283" w:hanging="357"/>
        <w:jc w:val="both"/>
        <w:rPr>
          <w:rFonts w:ascii="Calibri" w:eastAsia="Times New Roman" w:hAnsi="Calibri" w:cs="Calibri"/>
          <w:noProof/>
          <w:lang w:val="en-GB"/>
        </w:rPr>
      </w:pPr>
      <w:r w:rsidRPr="003E553E">
        <w:rPr>
          <w:rFonts w:ascii="Calibri" w:eastAsia="Times New Roman" w:hAnsi="Calibri" w:cs="Calibri"/>
          <w:noProof/>
          <w:lang w:val="en-GB"/>
        </w:rPr>
        <w:t xml:space="preserve">The number of incorporations per 1000 inhabitants has been rising </w:t>
      </w:r>
      <w:r w:rsidR="00D26286" w:rsidRPr="003E553E">
        <w:rPr>
          <w:rFonts w:ascii="Calibri" w:eastAsia="Times New Roman" w:hAnsi="Calibri" w:cs="Calibri"/>
          <w:noProof/>
          <w:lang w:val="en-GB"/>
        </w:rPr>
        <w:t>in</w:t>
      </w:r>
      <w:r w:rsidRPr="003E553E">
        <w:rPr>
          <w:rFonts w:ascii="Calibri" w:eastAsia="Times New Roman" w:hAnsi="Calibri" w:cs="Calibri"/>
          <w:noProof/>
          <w:lang w:val="en-GB"/>
        </w:rPr>
        <w:t xml:space="preserve"> </w:t>
      </w:r>
      <w:r w:rsidR="00D26286" w:rsidRPr="003E553E">
        <w:rPr>
          <w:rFonts w:ascii="Calibri" w:eastAsia="Times New Roman" w:hAnsi="Calibri" w:cs="Calibri"/>
          <w:noProof/>
          <w:lang w:val="en-GB"/>
        </w:rPr>
        <w:t xml:space="preserve">developing </w:t>
      </w:r>
      <w:r w:rsidRPr="003E553E">
        <w:rPr>
          <w:rFonts w:ascii="Calibri" w:eastAsia="Times New Roman" w:hAnsi="Calibri" w:cs="Calibri"/>
          <w:noProof/>
          <w:lang w:val="en-GB"/>
        </w:rPr>
        <w:t xml:space="preserve">jurisdictions, but </w:t>
      </w:r>
    </w:p>
    <w:p w14:paraId="74C9D619" w14:textId="60DFADA4" w:rsidR="007D378D" w:rsidRPr="008E7342" w:rsidRDefault="008E7342" w:rsidP="008E7342">
      <w:pPr>
        <w:pStyle w:val="ListParagraph"/>
        <w:spacing w:before="360" w:after="120" w:line="360" w:lineRule="auto"/>
        <w:ind w:left="283"/>
        <w:jc w:val="both"/>
        <w:rPr>
          <w:rFonts w:ascii="Calibri" w:eastAsia="Times New Roman" w:hAnsi="Calibri" w:cs="Calibri"/>
          <w:noProof/>
          <w:lang w:val="en-GB"/>
        </w:rPr>
      </w:pPr>
      <w:r>
        <w:rPr>
          <w:lang w:val="en-GB"/>
        </w:rPr>
        <w:t>i</w:t>
      </w:r>
      <w:r w:rsidR="0036346B" w:rsidRPr="003E553E">
        <w:rPr>
          <w:lang w:val="en-GB"/>
        </w:rPr>
        <w:t>n 202</w:t>
      </w:r>
      <w:r w:rsidR="00D26286" w:rsidRPr="003E553E">
        <w:rPr>
          <w:lang w:val="en-GB"/>
        </w:rPr>
        <w:t>1</w:t>
      </w:r>
      <w:r w:rsidR="0036346B" w:rsidRPr="003E553E">
        <w:rPr>
          <w:lang w:val="en-GB"/>
        </w:rPr>
        <w:t xml:space="preserve"> we observe </w:t>
      </w:r>
      <w:r w:rsidR="00FB64EB">
        <w:rPr>
          <w:lang w:val="en-GB"/>
        </w:rPr>
        <w:t xml:space="preserve">7.29 </w:t>
      </w:r>
      <w:r w:rsidR="0036346B" w:rsidRPr="003E553E">
        <w:rPr>
          <w:lang w:val="en-GB"/>
        </w:rPr>
        <w:t xml:space="preserve">new incorporations per 1000 inhabitants in </w:t>
      </w:r>
      <w:r w:rsidR="00D26286" w:rsidRPr="003E553E">
        <w:rPr>
          <w:lang w:val="en-GB"/>
        </w:rPr>
        <w:t>develop</w:t>
      </w:r>
      <w:r w:rsidR="00FB64EB">
        <w:rPr>
          <w:lang w:val="en-GB"/>
        </w:rPr>
        <w:t>ed</w:t>
      </w:r>
      <w:r w:rsidR="00D26286" w:rsidRPr="003E553E">
        <w:rPr>
          <w:lang w:val="en-GB"/>
        </w:rPr>
        <w:t xml:space="preserve"> </w:t>
      </w:r>
      <w:r w:rsidR="0036346B" w:rsidRPr="003E553E">
        <w:rPr>
          <w:lang w:val="en-GB"/>
        </w:rPr>
        <w:t>jurisdictions</w:t>
      </w:r>
      <w:r w:rsidR="007D378D" w:rsidRPr="003E553E">
        <w:rPr>
          <w:lang w:val="en-GB"/>
        </w:rPr>
        <w:t>,</w:t>
      </w:r>
      <w:r w:rsidR="0036346B" w:rsidRPr="003E553E">
        <w:rPr>
          <w:lang w:val="en-GB"/>
        </w:rPr>
        <w:t xml:space="preserve"> </w:t>
      </w:r>
      <w:r w:rsidR="00FB64EB">
        <w:rPr>
          <w:lang w:val="en-GB"/>
        </w:rPr>
        <w:t>4</w:t>
      </w:r>
      <w:r w:rsidR="0036346B" w:rsidRPr="003E553E">
        <w:rPr>
          <w:lang w:val="en-GB"/>
        </w:rPr>
        <w:t>.</w:t>
      </w:r>
      <w:r w:rsidR="00FB64EB">
        <w:rPr>
          <w:lang w:val="en-GB"/>
        </w:rPr>
        <w:t>46</w:t>
      </w:r>
      <w:r w:rsidR="0036346B" w:rsidRPr="003E553E">
        <w:rPr>
          <w:lang w:val="en-GB"/>
        </w:rPr>
        <w:t xml:space="preserve"> in transition jurisdictions</w:t>
      </w:r>
      <w:r w:rsidR="007D378D" w:rsidRPr="003E553E">
        <w:rPr>
          <w:lang w:val="en-GB"/>
        </w:rPr>
        <w:t>,</w:t>
      </w:r>
      <w:r w:rsidR="0036346B" w:rsidRPr="003E553E">
        <w:rPr>
          <w:lang w:val="en-GB"/>
        </w:rPr>
        <w:t xml:space="preserve"> and </w:t>
      </w:r>
      <w:r w:rsidR="00FB64EB">
        <w:rPr>
          <w:lang w:val="en-GB"/>
        </w:rPr>
        <w:t>1.52</w:t>
      </w:r>
      <w:r w:rsidR="0036346B" w:rsidRPr="003E553E">
        <w:rPr>
          <w:lang w:val="en-GB"/>
        </w:rPr>
        <w:t xml:space="preserve"> in developing jurisdictions.</w:t>
      </w:r>
    </w:p>
    <w:p w14:paraId="5188DEAB" w14:textId="77777777" w:rsidR="008E7342" w:rsidRPr="003E553E" w:rsidRDefault="008E7342" w:rsidP="008E7342">
      <w:pPr>
        <w:pStyle w:val="ListParagraph"/>
        <w:spacing w:before="360" w:after="120" w:line="360" w:lineRule="auto"/>
        <w:ind w:left="283"/>
        <w:jc w:val="both"/>
        <w:rPr>
          <w:rFonts w:ascii="Calibri" w:eastAsia="Times New Roman" w:hAnsi="Calibri" w:cs="Calibri"/>
          <w:noProof/>
          <w:lang w:val="en-GB"/>
        </w:rPr>
      </w:pPr>
    </w:p>
    <w:p w14:paraId="7825F37D" w14:textId="0015534F" w:rsidR="00EF1CCE" w:rsidRPr="003E553E" w:rsidRDefault="00EF1CCE" w:rsidP="007D378D">
      <w:pPr>
        <w:pStyle w:val="ListParagraph"/>
        <w:numPr>
          <w:ilvl w:val="0"/>
          <w:numId w:val="3"/>
        </w:numPr>
        <w:spacing w:before="360" w:after="120" w:line="360" w:lineRule="auto"/>
        <w:ind w:left="283" w:hanging="357"/>
        <w:jc w:val="both"/>
        <w:rPr>
          <w:rFonts w:ascii="Calibri" w:eastAsia="Times New Roman" w:hAnsi="Calibri" w:cs="Calibri"/>
          <w:noProof/>
          <w:lang w:val="en-GB"/>
        </w:rPr>
      </w:pPr>
      <w:r w:rsidRPr="003E553E">
        <w:rPr>
          <w:lang w:val="en-GB"/>
        </w:rPr>
        <w:lastRenderedPageBreak/>
        <w:t xml:space="preserve">In the responses from </w:t>
      </w:r>
      <w:r w:rsidR="00D26286" w:rsidRPr="003E553E">
        <w:rPr>
          <w:lang w:val="en-GB"/>
        </w:rPr>
        <w:t xml:space="preserve">African, Asian, </w:t>
      </w:r>
      <w:proofErr w:type="gramStart"/>
      <w:r w:rsidR="00D26286" w:rsidRPr="003E553E">
        <w:rPr>
          <w:lang w:val="en-GB"/>
        </w:rPr>
        <w:t>North</w:t>
      </w:r>
      <w:proofErr w:type="gramEnd"/>
      <w:r w:rsidR="00D26286" w:rsidRPr="003E553E">
        <w:rPr>
          <w:lang w:val="en-GB"/>
        </w:rPr>
        <w:t xml:space="preserve"> and Central American and Oceanian </w:t>
      </w:r>
      <w:r w:rsidR="007D378D" w:rsidRPr="003E553E">
        <w:rPr>
          <w:lang w:val="en-GB"/>
        </w:rPr>
        <w:t>registries,</w:t>
      </w:r>
      <w:r w:rsidRPr="003E553E">
        <w:rPr>
          <w:lang w:val="en-GB"/>
        </w:rPr>
        <w:t xml:space="preserve"> we observe </w:t>
      </w:r>
      <w:r w:rsidR="00D26286" w:rsidRPr="003E553E">
        <w:rPr>
          <w:lang w:val="en-GB"/>
        </w:rPr>
        <w:t>3.02, 1.82, 8.96, 0.71</w:t>
      </w:r>
      <w:r w:rsidR="006907ED" w:rsidRPr="003E553E">
        <w:rPr>
          <w:lang w:val="en-GB"/>
        </w:rPr>
        <w:t>, 15.64</w:t>
      </w:r>
      <w:r w:rsidR="00D30547" w:rsidRPr="003E553E">
        <w:rPr>
          <w:lang w:val="en-GB"/>
        </w:rPr>
        <w:t xml:space="preserve"> </w:t>
      </w:r>
      <w:r w:rsidR="00812679" w:rsidRPr="003E553E">
        <w:rPr>
          <w:lang w:val="en-GB"/>
        </w:rPr>
        <w:t>respectively new</w:t>
      </w:r>
      <w:r w:rsidRPr="003E553E">
        <w:rPr>
          <w:lang w:val="en-GB"/>
        </w:rPr>
        <w:t xml:space="preserve"> incorporations per 1000 inhabitant.</w:t>
      </w:r>
      <w:r w:rsidR="00E41AC8" w:rsidRPr="00E41AC8">
        <w:t xml:space="preserve"> </w:t>
      </w:r>
      <w:r w:rsidR="00E41AC8">
        <w:rPr>
          <w:lang w:val="en-GB"/>
        </w:rPr>
        <w:t>T</w:t>
      </w:r>
      <w:r w:rsidR="00E41AC8" w:rsidRPr="00E41AC8">
        <w:rPr>
          <w:lang w:val="en-GB"/>
        </w:rPr>
        <w:t xml:space="preserve">he </w:t>
      </w:r>
      <w:r w:rsidR="003552D7">
        <w:rPr>
          <w:lang w:val="en-GB"/>
        </w:rPr>
        <w:t xml:space="preserve">incorporations </w:t>
      </w:r>
      <w:r w:rsidR="003552D7" w:rsidRPr="00E41AC8">
        <w:rPr>
          <w:lang w:val="en-GB"/>
        </w:rPr>
        <w:t>in</w:t>
      </w:r>
      <w:r w:rsidR="00E41AC8" w:rsidRPr="00E41AC8">
        <w:rPr>
          <w:lang w:val="en-GB"/>
        </w:rPr>
        <w:t xml:space="preserve"> these jurisdictions show constant growth throughout the observed period</w:t>
      </w:r>
      <w:r w:rsidR="00E41AC8">
        <w:rPr>
          <w:lang w:val="en-GB"/>
        </w:rPr>
        <w:t xml:space="preserve"> (2018-2021).</w:t>
      </w:r>
      <w:r w:rsidR="008E7342">
        <w:rPr>
          <w:lang w:val="en-GB"/>
        </w:rPr>
        <w:br/>
      </w:r>
    </w:p>
    <w:p w14:paraId="441F2FCA" w14:textId="3E9609B2" w:rsidR="00C244CA" w:rsidRPr="008E7342" w:rsidRDefault="00CD272F" w:rsidP="008E7342">
      <w:pPr>
        <w:pStyle w:val="ListParagraph"/>
        <w:numPr>
          <w:ilvl w:val="0"/>
          <w:numId w:val="3"/>
        </w:numPr>
        <w:spacing w:before="240" w:after="120" w:line="360" w:lineRule="auto"/>
        <w:ind w:left="283" w:hanging="357"/>
        <w:jc w:val="both"/>
        <w:rPr>
          <w:rFonts w:ascii="Calibri" w:eastAsia="Times New Roman" w:hAnsi="Calibri" w:cs="Calibri"/>
          <w:noProof/>
          <w:lang w:val="en-GB"/>
        </w:rPr>
      </w:pPr>
      <w:r w:rsidRPr="00CD272F">
        <w:rPr>
          <w:rFonts w:ascii="Calibri" w:eastAsia="Times New Roman" w:hAnsi="Calibri" w:cs="Calibri"/>
          <w:noProof/>
          <w:lang w:val="en-GB"/>
        </w:rPr>
        <w:t>The ratio of incorporations vs.registered companies has been pretty steady in 2018-2020, regardless of development status but in 2021 there is a drop in this ratio in all of these three development  jurisdictions</w:t>
      </w:r>
    </w:p>
    <w:p w14:paraId="417F8EE7" w14:textId="5220475B" w:rsidR="00431944" w:rsidRPr="003E553E" w:rsidRDefault="00431944" w:rsidP="00F90B8B">
      <w:pPr>
        <w:pStyle w:val="Heading1"/>
        <w:spacing w:before="360" w:after="240" w:line="276" w:lineRule="auto"/>
        <w:rPr>
          <w:i/>
          <w:iCs/>
          <w:noProof/>
          <w:sz w:val="28"/>
          <w:szCs w:val="28"/>
          <w:lang w:val="en-GB"/>
        </w:rPr>
      </w:pPr>
      <w:r w:rsidRPr="003E553E">
        <w:rPr>
          <w:i/>
          <w:iCs/>
          <w:noProof/>
          <w:sz w:val="28"/>
          <w:szCs w:val="28"/>
          <w:lang w:val="en-GB"/>
        </w:rPr>
        <w:t>B</w:t>
      </w:r>
      <w:r w:rsidR="00F90B8B" w:rsidRPr="003E553E">
        <w:rPr>
          <w:i/>
          <w:iCs/>
          <w:noProof/>
          <w:sz w:val="28"/>
          <w:szCs w:val="28"/>
          <w:lang w:val="en-GB"/>
        </w:rPr>
        <w:t>usiness Dynamics - Terminations</w:t>
      </w:r>
    </w:p>
    <w:p w14:paraId="1A69D635" w14:textId="72960AC7" w:rsidR="00D30547" w:rsidRDefault="00482AD8" w:rsidP="00D30547">
      <w:pPr>
        <w:pStyle w:val="ListParagraph"/>
        <w:numPr>
          <w:ilvl w:val="0"/>
          <w:numId w:val="3"/>
        </w:numPr>
        <w:spacing w:before="360" w:after="120" w:line="360" w:lineRule="auto"/>
        <w:ind w:left="283" w:hanging="357"/>
        <w:jc w:val="both"/>
        <w:rPr>
          <w:lang w:val="en-GB"/>
        </w:rPr>
      </w:pPr>
      <w:r w:rsidRPr="003E553E">
        <w:rPr>
          <w:lang w:val="en-GB"/>
        </w:rPr>
        <w:t>Regarding terminations</w:t>
      </w:r>
      <w:r w:rsidR="00B112FC" w:rsidRPr="003E553E">
        <w:rPr>
          <w:lang w:val="en-GB"/>
        </w:rPr>
        <w:t xml:space="preserve">, </w:t>
      </w:r>
      <w:r w:rsidR="00D30547" w:rsidRPr="003E553E">
        <w:rPr>
          <w:lang w:val="en-GB"/>
        </w:rPr>
        <w:t>regardless of the development status we see an increase in 202</w:t>
      </w:r>
      <w:r w:rsidR="00B362C2">
        <w:rPr>
          <w:lang w:val="en-GB"/>
        </w:rPr>
        <w:t>1</w:t>
      </w:r>
      <w:r w:rsidR="00D30547" w:rsidRPr="003E553E">
        <w:rPr>
          <w:lang w:val="en-GB"/>
        </w:rPr>
        <w:t xml:space="preserve"> compared to 202</w:t>
      </w:r>
      <w:r w:rsidR="00B362C2">
        <w:rPr>
          <w:lang w:val="en-GB"/>
        </w:rPr>
        <w:t>0</w:t>
      </w:r>
      <w:r w:rsidR="00D30547" w:rsidRPr="003E553E">
        <w:rPr>
          <w:lang w:val="en-GB"/>
        </w:rPr>
        <w:t>.</w:t>
      </w:r>
    </w:p>
    <w:p w14:paraId="079CC2CD" w14:textId="77777777" w:rsidR="008E7342" w:rsidRPr="003E553E" w:rsidRDefault="008E7342" w:rsidP="008E7342">
      <w:pPr>
        <w:pStyle w:val="ListParagraph"/>
        <w:spacing w:before="360" w:after="120" w:line="360" w:lineRule="auto"/>
        <w:ind w:left="283"/>
        <w:jc w:val="both"/>
        <w:rPr>
          <w:lang w:val="en-GB"/>
        </w:rPr>
      </w:pPr>
    </w:p>
    <w:p w14:paraId="609A47C4" w14:textId="775BE7F2" w:rsidR="008E7342" w:rsidRPr="008E7342" w:rsidRDefault="009D383B" w:rsidP="008E7342">
      <w:pPr>
        <w:pStyle w:val="ListParagraph"/>
        <w:numPr>
          <w:ilvl w:val="0"/>
          <w:numId w:val="3"/>
        </w:numPr>
        <w:spacing w:before="360" w:after="120" w:line="360" w:lineRule="auto"/>
        <w:ind w:left="283" w:hanging="357"/>
        <w:jc w:val="both"/>
        <w:rPr>
          <w:lang w:val="en-GB"/>
        </w:rPr>
      </w:pPr>
      <w:r>
        <w:rPr>
          <w:lang w:val="en-GB"/>
        </w:rPr>
        <w:t>There are</w:t>
      </w:r>
      <w:r w:rsidRPr="003E553E">
        <w:rPr>
          <w:lang w:val="en-GB"/>
        </w:rPr>
        <w:t xml:space="preserve"> big differences in terminations per 1000 inhabitants among developing, developed and transition countries. While in developed countries terminations are between 3 and </w:t>
      </w:r>
      <w:r>
        <w:rPr>
          <w:lang w:val="en-GB"/>
        </w:rPr>
        <w:t>5</w:t>
      </w:r>
      <w:r w:rsidRPr="003E553E">
        <w:rPr>
          <w:lang w:val="en-GB"/>
        </w:rPr>
        <w:t xml:space="preserve"> per 1000 inhabitants, in transition countries </w:t>
      </w:r>
      <w:r>
        <w:rPr>
          <w:lang w:val="en-GB"/>
        </w:rPr>
        <w:t xml:space="preserve">between 1 and </w:t>
      </w:r>
      <w:r w:rsidR="00642C36">
        <w:rPr>
          <w:lang w:val="en-GB"/>
        </w:rPr>
        <w:t>1.5</w:t>
      </w:r>
      <w:r w:rsidRPr="003E553E">
        <w:rPr>
          <w:lang w:val="en-GB"/>
        </w:rPr>
        <w:t xml:space="preserve">, and in developing countries </w:t>
      </w:r>
      <w:r>
        <w:rPr>
          <w:lang w:val="en-GB"/>
        </w:rPr>
        <w:t xml:space="preserve">below 1 in </w:t>
      </w:r>
      <w:r w:rsidRPr="003E553E">
        <w:rPr>
          <w:lang w:val="en-GB"/>
        </w:rPr>
        <w:t>four years.</w:t>
      </w:r>
      <w:r w:rsidR="008E7342">
        <w:rPr>
          <w:lang w:val="en-GB"/>
        </w:rPr>
        <w:br/>
      </w:r>
    </w:p>
    <w:p w14:paraId="3D6EE55E" w14:textId="47857ECA" w:rsidR="00815586" w:rsidRDefault="00815586" w:rsidP="00815586">
      <w:pPr>
        <w:pStyle w:val="ListParagraph"/>
        <w:numPr>
          <w:ilvl w:val="0"/>
          <w:numId w:val="3"/>
        </w:numPr>
        <w:spacing w:before="360" w:after="120" w:line="360" w:lineRule="auto"/>
        <w:ind w:left="283" w:hanging="357"/>
        <w:jc w:val="both"/>
        <w:rPr>
          <w:lang w:val="en-GB"/>
        </w:rPr>
      </w:pPr>
      <w:r w:rsidRPr="003E553E">
        <w:rPr>
          <w:lang w:val="en-GB"/>
        </w:rPr>
        <w:t xml:space="preserve">The proportion between terminations and incorporations is also higher in developed countries, over </w:t>
      </w:r>
      <w:r>
        <w:rPr>
          <w:lang w:val="en-GB"/>
        </w:rPr>
        <w:t>50</w:t>
      </w:r>
      <w:r w:rsidRPr="003E553E">
        <w:rPr>
          <w:lang w:val="en-GB"/>
        </w:rPr>
        <w:t xml:space="preserve">%, followed by developing areas with values under </w:t>
      </w:r>
      <w:r>
        <w:rPr>
          <w:lang w:val="en-GB"/>
        </w:rPr>
        <w:t>40</w:t>
      </w:r>
      <w:r w:rsidRPr="003E553E">
        <w:rPr>
          <w:lang w:val="en-GB"/>
        </w:rPr>
        <w:t>%. In transition countries this proportion is around 2</w:t>
      </w:r>
      <w:r w:rsidRPr="007A2512">
        <w:rPr>
          <w:lang w:val="en-GB"/>
        </w:rPr>
        <w:t>0</w:t>
      </w:r>
      <w:r w:rsidRPr="003E553E">
        <w:rPr>
          <w:lang w:val="en-GB"/>
        </w:rPr>
        <w:t xml:space="preserve">%. This proportion </w:t>
      </w:r>
      <w:r w:rsidRPr="007A2512">
        <w:rPr>
          <w:lang w:val="en-GB"/>
        </w:rPr>
        <w:t>increases in 2021 compared to 2020</w:t>
      </w:r>
      <w:r>
        <w:rPr>
          <w:lang w:val="en-GB"/>
        </w:rPr>
        <w:t xml:space="preserve"> in developed and transition countries while in the developing countries remains steady</w:t>
      </w:r>
      <w:r w:rsidRPr="003E553E">
        <w:rPr>
          <w:lang w:val="en-GB"/>
        </w:rPr>
        <w:t xml:space="preserve">. </w:t>
      </w:r>
    </w:p>
    <w:p w14:paraId="35FCD593" w14:textId="77777777" w:rsidR="003D3476" w:rsidRPr="003E553E" w:rsidRDefault="003D3476" w:rsidP="003D3476">
      <w:pPr>
        <w:pStyle w:val="ListParagraph"/>
        <w:spacing w:before="360" w:after="120" w:line="360" w:lineRule="auto"/>
        <w:ind w:left="283"/>
        <w:jc w:val="both"/>
        <w:rPr>
          <w:lang w:val="en-GB"/>
        </w:rPr>
      </w:pPr>
    </w:p>
    <w:p w14:paraId="39B896DC" w14:textId="3B754387" w:rsidR="006427B6" w:rsidRDefault="006427B6" w:rsidP="00C6650E">
      <w:pPr>
        <w:pStyle w:val="ListParagraph"/>
        <w:numPr>
          <w:ilvl w:val="0"/>
          <w:numId w:val="3"/>
        </w:numPr>
        <w:spacing w:before="360" w:after="120" w:line="360" w:lineRule="auto"/>
        <w:ind w:left="283" w:hanging="357"/>
        <w:jc w:val="both"/>
        <w:rPr>
          <w:lang w:val="en-GB"/>
        </w:rPr>
      </w:pPr>
      <w:r w:rsidRPr="003E553E">
        <w:rPr>
          <w:lang w:val="en-GB"/>
        </w:rPr>
        <w:t>If we consider the proportion between compulsory an</w:t>
      </w:r>
      <w:r w:rsidR="00B442A5" w:rsidRPr="003E553E">
        <w:rPr>
          <w:lang w:val="en-GB"/>
        </w:rPr>
        <w:t>d</w:t>
      </w:r>
      <w:r w:rsidRPr="003E553E">
        <w:rPr>
          <w:lang w:val="en-GB"/>
        </w:rPr>
        <w:t xml:space="preserve"> total terminations, the numbers of developing countries are very similar to developed ones. For transition countries this proportion is always lower than in the other areas.</w:t>
      </w:r>
    </w:p>
    <w:p w14:paraId="2251D477" w14:textId="77777777" w:rsidR="003D3476" w:rsidRPr="003D3476" w:rsidRDefault="003D3476" w:rsidP="003D3476">
      <w:pPr>
        <w:pStyle w:val="ListParagraph"/>
        <w:rPr>
          <w:lang w:val="en-GB"/>
        </w:rPr>
      </w:pPr>
    </w:p>
    <w:p w14:paraId="188ADD20" w14:textId="77777777" w:rsidR="003D3476" w:rsidRPr="003E553E" w:rsidRDefault="003D3476" w:rsidP="003D3476">
      <w:pPr>
        <w:pStyle w:val="ListParagraph"/>
        <w:spacing w:before="360" w:after="120" w:line="360" w:lineRule="auto"/>
        <w:ind w:left="283"/>
        <w:jc w:val="both"/>
        <w:rPr>
          <w:lang w:val="en-GB"/>
        </w:rPr>
      </w:pPr>
    </w:p>
    <w:p w14:paraId="6B43B674" w14:textId="19D3759B" w:rsidR="00F6123E" w:rsidRDefault="00F6123E" w:rsidP="00F6123E">
      <w:pPr>
        <w:pStyle w:val="ListParagraph"/>
        <w:numPr>
          <w:ilvl w:val="0"/>
          <w:numId w:val="3"/>
        </w:numPr>
        <w:spacing w:before="360" w:after="120" w:line="360" w:lineRule="auto"/>
        <w:ind w:left="283" w:hanging="357"/>
        <w:jc w:val="both"/>
        <w:rPr>
          <w:lang w:val="en-GB"/>
        </w:rPr>
      </w:pPr>
      <w:r>
        <w:rPr>
          <w:lang w:val="en-GB"/>
        </w:rPr>
        <w:t xml:space="preserve">The terminations by region </w:t>
      </w:r>
      <w:bookmarkStart w:id="0" w:name="_Hlk138017962"/>
      <w:r>
        <w:rPr>
          <w:lang w:val="en-GB"/>
        </w:rPr>
        <w:t xml:space="preserve">per 1000 inhabitants, Oceania has the lead with 9.67, followed by North America with 4.04, North America with 3.95, and Asia with 0.75. </w:t>
      </w:r>
    </w:p>
    <w:p w14:paraId="7F8011FF" w14:textId="77777777" w:rsidR="003D3476" w:rsidRDefault="003D3476" w:rsidP="003D3476">
      <w:pPr>
        <w:pStyle w:val="ListParagraph"/>
        <w:spacing w:before="360" w:after="120" w:line="360" w:lineRule="auto"/>
        <w:ind w:left="283"/>
        <w:jc w:val="both"/>
        <w:rPr>
          <w:lang w:val="en-GB"/>
        </w:rPr>
      </w:pPr>
    </w:p>
    <w:bookmarkEnd w:id="0"/>
    <w:p w14:paraId="646FA510" w14:textId="77777777" w:rsidR="00BF460F" w:rsidRPr="003E553E" w:rsidRDefault="00BF460F" w:rsidP="00BF460F">
      <w:pPr>
        <w:pStyle w:val="ListParagraph"/>
        <w:numPr>
          <w:ilvl w:val="0"/>
          <w:numId w:val="3"/>
        </w:numPr>
        <w:spacing w:before="360" w:after="120" w:line="360" w:lineRule="auto"/>
        <w:ind w:left="283" w:hanging="357"/>
        <w:jc w:val="both"/>
        <w:rPr>
          <w:lang w:val="en-GB"/>
        </w:rPr>
      </w:pPr>
      <w:r>
        <w:rPr>
          <w:lang w:val="en-GB"/>
        </w:rPr>
        <w:t>Regarding</w:t>
      </w:r>
      <w:r w:rsidRPr="003E553E">
        <w:rPr>
          <w:lang w:val="en-GB"/>
        </w:rPr>
        <w:t xml:space="preserve"> the proportion between compulsory and total terminations, the numbers of developing countries are very similar to developed ones. For transition countries this proportion is always lower than in the other areas.</w:t>
      </w:r>
    </w:p>
    <w:p w14:paraId="130F4502" w14:textId="77777777" w:rsidR="00BF460F" w:rsidRDefault="00BF460F" w:rsidP="00F759EF">
      <w:pPr>
        <w:pStyle w:val="ListParagraph"/>
        <w:numPr>
          <w:ilvl w:val="0"/>
          <w:numId w:val="3"/>
        </w:numPr>
        <w:spacing w:before="360" w:after="120" w:line="360" w:lineRule="auto"/>
        <w:ind w:left="283" w:hanging="357"/>
        <w:jc w:val="both"/>
        <w:rPr>
          <w:lang w:val="en-GB"/>
        </w:rPr>
      </w:pPr>
      <w:r>
        <w:rPr>
          <w:lang w:val="en-GB"/>
        </w:rPr>
        <w:lastRenderedPageBreak/>
        <w:t>In North America there is almost doubled number of terminations of Sole Traders, General Partnerships and Limited Companies, and significant increase of terminations of LLCs for 2021 compared to 2020.</w:t>
      </w:r>
    </w:p>
    <w:p w14:paraId="425EFF3C" w14:textId="77777777" w:rsidR="003D3476" w:rsidRDefault="003D3476" w:rsidP="003D3476">
      <w:pPr>
        <w:pStyle w:val="ListParagraph"/>
        <w:spacing w:before="360" w:after="120" w:line="360" w:lineRule="auto"/>
        <w:ind w:left="283"/>
        <w:jc w:val="both"/>
        <w:rPr>
          <w:lang w:val="en-GB"/>
        </w:rPr>
      </w:pPr>
    </w:p>
    <w:p w14:paraId="33E46BF4" w14:textId="77777777" w:rsidR="0072166B" w:rsidRDefault="0072166B" w:rsidP="0072166B">
      <w:pPr>
        <w:pStyle w:val="ListParagraph"/>
        <w:numPr>
          <w:ilvl w:val="0"/>
          <w:numId w:val="3"/>
        </w:numPr>
        <w:spacing w:before="360" w:after="120" w:line="360" w:lineRule="auto"/>
        <w:ind w:left="283" w:hanging="357"/>
        <w:jc w:val="both"/>
        <w:rPr>
          <w:lang w:val="en-GB"/>
        </w:rPr>
      </w:pPr>
      <w:r>
        <w:rPr>
          <w:lang w:val="en-GB"/>
        </w:rPr>
        <w:t xml:space="preserve">South America has a decrease in the numbers of sole traders and LLCs and increase of the terminations of general partnerships and stable number of terminations the rest of the organizational forms for 2021 compared to 2020. </w:t>
      </w:r>
    </w:p>
    <w:p w14:paraId="08904812" w14:textId="77777777" w:rsidR="003D3476" w:rsidRPr="003D3476" w:rsidRDefault="003D3476" w:rsidP="003D3476">
      <w:pPr>
        <w:pStyle w:val="ListParagraph"/>
        <w:rPr>
          <w:lang w:val="en-GB"/>
        </w:rPr>
      </w:pPr>
    </w:p>
    <w:p w14:paraId="4AF733EF" w14:textId="77777777" w:rsidR="003D3476" w:rsidRDefault="003D3476" w:rsidP="003D3476">
      <w:pPr>
        <w:pStyle w:val="ListParagraph"/>
        <w:spacing w:before="360" w:after="120" w:line="360" w:lineRule="auto"/>
        <w:ind w:left="283"/>
        <w:jc w:val="both"/>
        <w:rPr>
          <w:lang w:val="en-GB"/>
        </w:rPr>
      </w:pPr>
    </w:p>
    <w:p w14:paraId="4704559A" w14:textId="5006AF26" w:rsidR="0072166B" w:rsidRDefault="0072166B" w:rsidP="0072166B">
      <w:pPr>
        <w:pStyle w:val="ListParagraph"/>
        <w:numPr>
          <w:ilvl w:val="0"/>
          <w:numId w:val="3"/>
        </w:numPr>
        <w:spacing w:before="360" w:after="120" w:line="360" w:lineRule="auto"/>
        <w:ind w:left="283" w:hanging="357"/>
        <w:jc w:val="both"/>
        <w:rPr>
          <w:lang w:val="en-GB"/>
        </w:rPr>
      </w:pPr>
      <w:r>
        <w:rPr>
          <w:lang w:val="en-GB"/>
        </w:rPr>
        <w:t xml:space="preserve">In Europe there is significant increase in terminations of LLCs and Private Limited Companies and decrease in terminations of general partnerships, sole </w:t>
      </w:r>
      <w:proofErr w:type="gramStart"/>
      <w:r>
        <w:rPr>
          <w:lang w:val="en-GB"/>
        </w:rPr>
        <w:t>traders</w:t>
      </w:r>
      <w:proofErr w:type="gramEnd"/>
      <w:r>
        <w:rPr>
          <w:lang w:val="en-GB"/>
        </w:rPr>
        <w:t xml:space="preserve"> and public limited companies for 2021 compared to 2020. </w:t>
      </w:r>
    </w:p>
    <w:p w14:paraId="4766AE5C" w14:textId="77777777" w:rsidR="003D3476" w:rsidRDefault="003D3476" w:rsidP="003D3476">
      <w:pPr>
        <w:pStyle w:val="ListParagraph"/>
        <w:spacing w:before="360" w:after="120" w:line="360" w:lineRule="auto"/>
        <w:ind w:left="283"/>
        <w:jc w:val="both"/>
        <w:rPr>
          <w:lang w:val="en-GB"/>
        </w:rPr>
      </w:pPr>
    </w:p>
    <w:p w14:paraId="27E3B8C9" w14:textId="0A3E6C4F" w:rsidR="003D3476" w:rsidRDefault="009C03C1" w:rsidP="003D3476">
      <w:pPr>
        <w:pStyle w:val="ListParagraph"/>
        <w:numPr>
          <w:ilvl w:val="0"/>
          <w:numId w:val="3"/>
        </w:numPr>
        <w:spacing w:before="360" w:after="120" w:line="360" w:lineRule="auto"/>
        <w:ind w:left="283" w:hanging="357"/>
        <w:jc w:val="both"/>
        <w:rPr>
          <w:lang w:val="en-GB"/>
        </w:rPr>
      </w:pPr>
      <w:r>
        <w:rPr>
          <w:lang w:val="en-GB"/>
        </w:rPr>
        <w:t xml:space="preserve">Oceania has significant increase in terminations of Sole Traders for 2021 compared to 2020. </w:t>
      </w:r>
    </w:p>
    <w:p w14:paraId="579F043F" w14:textId="77777777" w:rsidR="003D3476" w:rsidRPr="003D3476" w:rsidRDefault="003D3476" w:rsidP="003D3476">
      <w:pPr>
        <w:pStyle w:val="ListParagraph"/>
        <w:rPr>
          <w:lang w:val="en-GB"/>
        </w:rPr>
      </w:pPr>
    </w:p>
    <w:p w14:paraId="3783D56A" w14:textId="77777777" w:rsidR="003D3476" w:rsidRPr="003D3476" w:rsidRDefault="003D3476" w:rsidP="003D3476">
      <w:pPr>
        <w:pStyle w:val="ListParagraph"/>
        <w:spacing w:before="360" w:after="120" w:line="360" w:lineRule="auto"/>
        <w:ind w:left="283"/>
        <w:jc w:val="both"/>
        <w:rPr>
          <w:lang w:val="en-GB"/>
        </w:rPr>
      </w:pPr>
    </w:p>
    <w:p w14:paraId="5C993B17" w14:textId="16AF1B17" w:rsidR="006427B6" w:rsidRPr="003D3476" w:rsidRDefault="00E242EF" w:rsidP="00F759EF">
      <w:pPr>
        <w:pStyle w:val="ListParagraph"/>
        <w:numPr>
          <w:ilvl w:val="0"/>
          <w:numId w:val="3"/>
        </w:numPr>
        <w:spacing w:before="360" w:after="120" w:line="360" w:lineRule="auto"/>
        <w:ind w:left="283" w:hanging="357"/>
        <w:jc w:val="both"/>
        <w:rPr>
          <w:lang w:val="en-GB"/>
        </w:rPr>
      </w:pPr>
      <w:r>
        <w:rPr>
          <w:lang w:val="en-GB"/>
        </w:rPr>
        <w:t xml:space="preserve">Except for </w:t>
      </w:r>
      <w:r w:rsidR="00812679">
        <w:rPr>
          <w:lang w:val="en-GB"/>
        </w:rPr>
        <w:t>the significant</w:t>
      </w:r>
      <w:r>
        <w:rPr>
          <w:lang w:val="en-GB"/>
        </w:rPr>
        <w:t xml:space="preserve"> decrease of the numbers of terminations of sole traders in South America and the increase in Oceania and if </w:t>
      </w:r>
      <w:r w:rsidR="006427B6" w:rsidRPr="003E553E">
        <w:rPr>
          <w:lang w:val="en-GB"/>
        </w:rPr>
        <w:t>we consider the</w:t>
      </w:r>
      <w:r>
        <w:rPr>
          <w:lang w:val="en-GB"/>
        </w:rPr>
        <w:t xml:space="preserve"> rest</w:t>
      </w:r>
      <w:r w:rsidR="006427B6" w:rsidRPr="003E553E">
        <w:rPr>
          <w:lang w:val="en-GB"/>
        </w:rPr>
        <w:t xml:space="preserve"> </w:t>
      </w:r>
      <w:r w:rsidR="00A416D8">
        <w:rPr>
          <w:lang w:val="en-GB"/>
        </w:rPr>
        <w:t xml:space="preserve">different types of </w:t>
      </w:r>
      <w:r w:rsidR="006427B6" w:rsidRPr="003E553E">
        <w:rPr>
          <w:lang w:val="en-GB"/>
        </w:rPr>
        <w:t>legal form</w:t>
      </w:r>
      <w:r w:rsidR="00A416D8">
        <w:rPr>
          <w:lang w:val="en-GB"/>
        </w:rPr>
        <w:t>s</w:t>
      </w:r>
      <w:r w:rsidR="006427B6" w:rsidRPr="003E553E">
        <w:rPr>
          <w:lang w:val="en-GB"/>
        </w:rPr>
        <w:t xml:space="preserve"> of </w:t>
      </w:r>
      <w:proofErr w:type="gramStart"/>
      <w:r w:rsidR="006427B6" w:rsidRPr="003E553E">
        <w:rPr>
          <w:lang w:val="en-GB"/>
        </w:rPr>
        <w:t>compan</w:t>
      </w:r>
      <w:r w:rsidR="00133CDE">
        <w:rPr>
          <w:lang w:val="en-GB"/>
        </w:rPr>
        <w:t>ies</w:t>
      </w:r>
      <w:r w:rsidR="00884A4A">
        <w:rPr>
          <w:lang w:val="en-GB"/>
        </w:rPr>
        <w:t xml:space="preserve"> as a whole</w:t>
      </w:r>
      <w:r w:rsidR="006427B6" w:rsidRPr="003E553E">
        <w:rPr>
          <w:lang w:val="en-GB"/>
        </w:rPr>
        <w:t>,</w:t>
      </w:r>
      <w:r w:rsidR="00A416D8">
        <w:rPr>
          <w:lang w:val="mk-MK"/>
        </w:rPr>
        <w:t xml:space="preserve"> </w:t>
      </w:r>
      <w:r w:rsidR="00A416D8">
        <w:rPr>
          <w:lang w:val="en-US"/>
        </w:rPr>
        <w:t>we</w:t>
      </w:r>
      <w:proofErr w:type="gramEnd"/>
      <w:r w:rsidR="00A416D8">
        <w:rPr>
          <w:lang w:val="en-US"/>
        </w:rPr>
        <w:t xml:space="preserve"> notice stable numbers of</w:t>
      </w:r>
      <w:r w:rsidR="00024873">
        <w:rPr>
          <w:lang w:val="en-US"/>
        </w:rPr>
        <w:t xml:space="preserve"> the</w:t>
      </w:r>
      <w:r w:rsidR="00A416D8">
        <w:rPr>
          <w:lang w:val="en-US"/>
        </w:rPr>
        <w:t xml:space="preserve"> terminations in Oceania and South America in </w:t>
      </w:r>
      <w:r>
        <w:rPr>
          <w:lang w:val="en-US"/>
        </w:rPr>
        <w:t>the observed period 2018 - 2021</w:t>
      </w:r>
      <w:r w:rsidR="00A416D8">
        <w:rPr>
          <w:lang w:val="en-US"/>
        </w:rPr>
        <w:t>.</w:t>
      </w:r>
    </w:p>
    <w:p w14:paraId="178956D6" w14:textId="77777777" w:rsidR="003D3476" w:rsidRPr="00812679" w:rsidRDefault="003D3476" w:rsidP="003D3476">
      <w:pPr>
        <w:pStyle w:val="ListParagraph"/>
        <w:spacing w:before="360" w:after="120" w:line="360" w:lineRule="auto"/>
        <w:ind w:left="283"/>
        <w:jc w:val="both"/>
        <w:rPr>
          <w:lang w:val="en-GB"/>
        </w:rPr>
      </w:pPr>
    </w:p>
    <w:p w14:paraId="35F75CA3" w14:textId="255C9C5C" w:rsidR="006072B1" w:rsidRDefault="006072B1" w:rsidP="00812679">
      <w:pPr>
        <w:pStyle w:val="ListParagraph"/>
        <w:numPr>
          <w:ilvl w:val="0"/>
          <w:numId w:val="3"/>
        </w:numPr>
        <w:spacing w:before="360" w:after="120" w:line="360" w:lineRule="auto"/>
        <w:ind w:left="283" w:hanging="357"/>
        <w:jc w:val="both"/>
        <w:rPr>
          <w:lang w:val="en-GB"/>
        </w:rPr>
      </w:pPr>
      <w:r w:rsidRPr="006072B1">
        <w:rPr>
          <w:lang w:val="en-GB"/>
        </w:rPr>
        <w:t>In 2021, we notice significant increase of the numbers of terminations of Sole Traders and General Partnerships in Asia and North America. In these regions the course is steady if we look at the numbers of terminations of Private Liability Company and Public Liability Company.</w:t>
      </w:r>
    </w:p>
    <w:p w14:paraId="69E0727E" w14:textId="77777777" w:rsidR="003D3476" w:rsidRPr="003D3476" w:rsidRDefault="003D3476" w:rsidP="003D3476">
      <w:pPr>
        <w:pStyle w:val="ListParagraph"/>
        <w:rPr>
          <w:lang w:val="en-GB"/>
        </w:rPr>
      </w:pPr>
    </w:p>
    <w:p w14:paraId="5B5513AB" w14:textId="77777777" w:rsidR="003D3476" w:rsidRPr="006072B1" w:rsidRDefault="003D3476" w:rsidP="003D3476">
      <w:pPr>
        <w:pStyle w:val="ListParagraph"/>
        <w:spacing w:before="360" w:after="120" w:line="360" w:lineRule="auto"/>
        <w:ind w:left="283"/>
        <w:jc w:val="both"/>
        <w:rPr>
          <w:lang w:val="en-GB"/>
        </w:rPr>
      </w:pPr>
    </w:p>
    <w:p w14:paraId="6DA99FF2" w14:textId="34418F0A" w:rsidR="006072B1" w:rsidRDefault="006072B1" w:rsidP="00812679">
      <w:pPr>
        <w:pStyle w:val="ListParagraph"/>
        <w:numPr>
          <w:ilvl w:val="0"/>
          <w:numId w:val="3"/>
        </w:numPr>
        <w:spacing w:before="360" w:after="120" w:line="360" w:lineRule="auto"/>
        <w:ind w:left="283" w:hanging="357"/>
        <w:jc w:val="both"/>
        <w:rPr>
          <w:lang w:val="en-GB"/>
        </w:rPr>
      </w:pPr>
      <w:r w:rsidRPr="006072B1">
        <w:rPr>
          <w:lang w:val="en-GB"/>
        </w:rPr>
        <w:t xml:space="preserve">There is also a </w:t>
      </w:r>
      <w:r w:rsidR="00234E34">
        <w:rPr>
          <w:lang w:val="en-GB"/>
        </w:rPr>
        <w:t xml:space="preserve">significant increase of </w:t>
      </w:r>
      <w:r w:rsidRPr="006072B1">
        <w:rPr>
          <w:lang w:val="en-GB"/>
        </w:rPr>
        <w:t>the numbers of terminations of LLCs</w:t>
      </w:r>
      <w:r w:rsidR="00234E34">
        <w:rPr>
          <w:lang w:val="en-GB"/>
        </w:rPr>
        <w:t xml:space="preserve"> and Private Liability Companies</w:t>
      </w:r>
      <w:r w:rsidR="00234E34" w:rsidRPr="006072B1">
        <w:rPr>
          <w:lang w:val="en-GB"/>
        </w:rPr>
        <w:t xml:space="preserve"> in</w:t>
      </w:r>
      <w:r w:rsidRPr="006072B1">
        <w:rPr>
          <w:lang w:val="en-GB"/>
        </w:rPr>
        <w:t xml:space="preserve"> North America</w:t>
      </w:r>
      <w:r w:rsidR="00234E34">
        <w:rPr>
          <w:lang w:val="en-GB"/>
        </w:rPr>
        <w:t>, Europe</w:t>
      </w:r>
      <w:r w:rsidRPr="006072B1">
        <w:rPr>
          <w:lang w:val="en-GB"/>
        </w:rPr>
        <w:t xml:space="preserve"> </w:t>
      </w:r>
      <w:r w:rsidR="00234E34">
        <w:rPr>
          <w:lang w:val="en-GB"/>
        </w:rPr>
        <w:t>in 2021</w:t>
      </w:r>
      <w:r w:rsidRPr="006072B1">
        <w:rPr>
          <w:lang w:val="en-GB"/>
        </w:rPr>
        <w:t xml:space="preserve">. </w:t>
      </w:r>
    </w:p>
    <w:p w14:paraId="44981B97" w14:textId="77777777" w:rsidR="003D3476" w:rsidRPr="006072B1" w:rsidRDefault="003D3476" w:rsidP="003D3476">
      <w:pPr>
        <w:pStyle w:val="ListParagraph"/>
        <w:spacing w:before="360" w:after="120" w:line="360" w:lineRule="auto"/>
        <w:ind w:left="283"/>
        <w:jc w:val="both"/>
        <w:rPr>
          <w:lang w:val="en-GB"/>
        </w:rPr>
      </w:pPr>
    </w:p>
    <w:p w14:paraId="57FB150F" w14:textId="3E29ED85" w:rsidR="000F5D39" w:rsidRDefault="006072B1">
      <w:pPr>
        <w:pStyle w:val="ListParagraph"/>
        <w:numPr>
          <w:ilvl w:val="0"/>
          <w:numId w:val="3"/>
        </w:numPr>
        <w:spacing w:before="360" w:after="120" w:line="360" w:lineRule="auto"/>
        <w:ind w:left="283" w:hanging="357"/>
        <w:jc w:val="both"/>
        <w:rPr>
          <w:lang w:val="en-GB"/>
        </w:rPr>
      </w:pPr>
      <w:r w:rsidRPr="006072B1">
        <w:rPr>
          <w:lang w:val="en-GB"/>
        </w:rPr>
        <w:t>Looking closely by regions in terms of the proportion of incorporations/terminations (at the ratios) we can conclude that there are no significant changes</w:t>
      </w:r>
      <w:r w:rsidR="00234E34">
        <w:rPr>
          <w:lang w:val="en-GB"/>
        </w:rPr>
        <w:t>, except for Central America</w:t>
      </w:r>
      <w:r w:rsidR="00A265EF">
        <w:rPr>
          <w:lang w:val="en-GB"/>
        </w:rPr>
        <w:t xml:space="preserve"> where the proportion raises</w:t>
      </w:r>
      <w:r w:rsidRPr="006072B1">
        <w:rPr>
          <w:lang w:val="en-GB"/>
        </w:rPr>
        <w:t>.</w:t>
      </w:r>
    </w:p>
    <w:p w14:paraId="06B3ED2D" w14:textId="77777777" w:rsidR="003D3476" w:rsidRPr="003D3476" w:rsidRDefault="003D3476" w:rsidP="003D3476">
      <w:pPr>
        <w:pStyle w:val="ListParagraph"/>
        <w:rPr>
          <w:lang w:val="en-GB"/>
        </w:rPr>
      </w:pPr>
    </w:p>
    <w:p w14:paraId="0A3AA40B" w14:textId="77777777" w:rsidR="003D3476" w:rsidRDefault="003D3476" w:rsidP="003D3476">
      <w:pPr>
        <w:pStyle w:val="ListParagraph"/>
        <w:spacing w:before="360" w:after="120" w:line="360" w:lineRule="auto"/>
        <w:ind w:left="283"/>
        <w:jc w:val="both"/>
        <w:rPr>
          <w:lang w:val="en-GB"/>
        </w:rPr>
      </w:pPr>
    </w:p>
    <w:p w14:paraId="69D48A19" w14:textId="5AD32B9F" w:rsidR="00E82F0D" w:rsidRDefault="00E82F0D" w:rsidP="00E82F0D">
      <w:pPr>
        <w:pStyle w:val="ListParagraph"/>
        <w:numPr>
          <w:ilvl w:val="0"/>
          <w:numId w:val="3"/>
        </w:numPr>
        <w:spacing w:before="360" w:after="120" w:line="360" w:lineRule="auto"/>
        <w:ind w:left="283" w:hanging="357"/>
        <w:jc w:val="both"/>
        <w:rPr>
          <w:lang w:val="en-GB"/>
        </w:rPr>
      </w:pPr>
      <w:r>
        <w:rPr>
          <w:lang w:val="en-GB"/>
        </w:rPr>
        <w:lastRenderedPageBreak/>
        <w:t xml:space="preserve">Looking at the trend of incorporations minus terminations in Asia and Oceania there is negative trend for General Partnerships. And in Europe and South America there is negative trend for Public Limited Companies. While in Oceania negative trend is present only with General Partnerships. </w:t>
      </w:r>
    </w:p>
    <w:p w14:paraId="5E3C4BA3" w14:textId="77777777" w:rsidR="003D3476" w:rsidRDefault="003D3476" w:rsidP="003D3476">
      <w:pPr>
        <w:pStyle w:val="ListParagraph"/>
        <w:spacing w:before="360" w:after="120" w:line="360" w:lineRule="auto"/>
        <w:ind w:left="283"/>
        <w:jc w:val="both"/>
        <w:rPr>
          <w:lang w:val="en-GB"/>
        </w:rPr>
      </w:pPr>
    </w:p>
    <w:p w14:paraId="19C2CAA9" w14:textId="03CD5C6F" w:rsidR="00E82F0D" w:rsidRPr="003758B6" w:rsidRDefault="00E82F0D" w:rsidP="00E82F0D">
      <w:pPr>
        <w:pStyle w:val="ListParagraph"/>
        <w:numPr>
          <w:ilvl w:val="0"/>
          <w:numId w:val="3"/>
        </w:numPr>
        <w:spacing w:before="360" w:after="120" w:line="360" w:lineRule="auto"/>
        <w:ind w:left="283" w:hanging="357"/>
        <w:jc w:val="both"/>
        <w:rPr>
          <w:lang w:val="en-GB"/>
        </w:rPr>
      </w:pPr>
      <w:r>
        <w:rPr>
          <w:lang w:val="en-GB"/>
        </w:rPr>
        <w:t xml:space="preserve">The ratio compulsory vs. total terminations is steady across Oceania and the ratio have been raising across all other regions for the respective period.   </w:t>
      </w:r>
    </w:p>
    <w:p w14:paraId="6989E2F4" w14:textId="77777777" w:rsidR="00E82F0D" w:rsidRPr="003758B6" w:rsidRDefault="00E82F0D" w:rsidP="00812679">
      <w:pPr>
        <w:pStyle w:val="ListParagraph"/>
        <w:spacing w:before="360" w:after="120" w:line="360" w:lineRule="auto"/>
        <w:ind w:left="283"/>
        <w:jc w:val="both"/>
        <w:rPr>
          <w:lang w:val="en-GB"/>
        </w:rPr>
      </w:pPr>
    </w:p>
    <w:sectPr w:rsidR="00E82F0D" w:rsidRPr="003758B6" w:rsidSect="00860329">
      <w:headerReference w:type="default" r:id="rId7"/>
      <w:footerReference w:type="default" r:id="rId8"/>
      <w:pgSz w:w="11906" w:h="16838"/>
      <w:pgMar w:top="1440" w:right="1440" w:bottom="1440" w:left="144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E9B6" w14:textId="77777777" w:rsidR="00D07B4B" w:rsidRDefault="00D07B4B" w:rsidP="00F759EF">
      <w:pPr>
        <w:spacing w:after="0" w:line="240" w:lineRule="auto"/>
      </w:pPr>
      <w:r>
        <w:separator/>
      </w:r>
    </w:p>
  </w:endnote>
  <w:endnote w:type="continuationSeparator" w:id="0">
    <w:p w14:paraId="3C294CB6" w14:textId="77777777" w:rsidR="00D07B4B" w:rsidRDefault="00D07B4B" w:rsidP="00F7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13452"/>
      <w:docPartObj>
        <w:docPartGallery w:val="Page Numbers (Bottom of Page)"/>
        <w:docPartUnique/>
      </w:docPartObj>
    </w:sdtPr>
    <w:sdtEndPr>
      <w:rPr>
        <w:rFonts w:asciiTheme="majorHAnsi" w:hAnsiTheme="majorHAnsi" w:cstheme="majorHAnsi"/>
        <w:b/>
        <w:bCs/>
        <w:color w:val="2B5DA8"/>
        <w:sz w:val="20"/>
        <w:szCs w:val="20"/>
      </w:rPr>
    </w:sdtEndPr>
    <w:sdtContent>
      <w:p w14:paraId="4A3D4AAC" w14:textId="77777777" w:rsidR="00860329" w:rsidRPr="00F759EF" w:rsidRDefault="00860329">
        <w:pPr>
          <w:pStyle w:val="Footer"/>
          <w:jc w:val="right"/>
          <w:rPr>
            <w:rFonts w:asciiTheme="majorHAnsi" w:hAnsiTheme="majorHAnsi" w:cstheme="majorHAnsi"/>
            <w:b/>
            <w:bCs/>
            <w:color w:val="2B5DA8"/>
            <w:sz w:val="20"/>
            <w:szCs w:val="20"/>
          </w:rPr>
        </w:pPr>
      </w:p>
      <w:tbl>
        <w:tblPr>
          <w:tblW w:w="9498" w:type="dxa"/>
          <w:tblLayout w:type="fixed"/>
          <w:tblLook w:val="01E0" w:firstRow="1" w:lastRow="1" w:firstColumn="1" w:lastColumn="1" w:noHBand="0" w:noVBand="0"/>
        </w:tblPr>
        <w:tblGrid>
          <w:gridCol w:w="360"/>
          <w:gridCol w:w="8460"/>
          <w:gridCol w:w="678"/>
        </w:tblGrid>
        <w:tr w:rsidR="00860329" w:rsidRPr="00882D74" w14:paraId="4A808A3F" w14:textId="77777777" w:rsidTr="00860329">
          <w:tc>
            <w:tcPr>
              <w:tcW w:w="360" w:type="dxa"/>
              <w:shd w:val="clear" w:color="auto" w:fill="auto"/>
              <w:tcMar>
                <w:top w:w="0" w:type="dxa"/>
                <w:left w:w="0" w:type="dxa"/>
                <w:right w:w="0" w:type="dxa"/>
              </w:tcMar>
              <w:vAlign w:val="center"/>
            </w:tcPr>
            <w:p w14:paraId="2C66865F" w14:textId="7776ACDF" w:rsidR="00860329" w:rsidRPr="00291ECD" w:rsidRDefault="00860329" w:rsidP="00860329">
              <w:pPr>
                <w:pStyle w:val="Footer"/>
                <w:ind w:right="360"/>
                <w:rPr>
                  <w:b/>
                </w:rPr>
              </w:pPr>
            </w:p>
          </w:tc>
          <w:tc>
            <w:tcPr>
              <w:tcW w:w="8460" w:type="dxa"/>
              <w:shd w:val="clear" w:color="auto" w:fill="auto"/>
              <w:tcMar>
                <w:left w:w="28" w:type="dxa"/>
              </w:tcMar>
              <w:vAlign w:val="center"/>
            </w:tcPr>
            <w:p w14:paraId="743DB4D6" w14:textId="77777777" w:rsidR="00860329" w:rsidRPr="00882CBB" w:rsidRDefault="00860329" w:rsidP="00860329">
              <w:pPr>
                <w:pStyle w:val="Footer"/>
                <w:ind w:firstLine="146"/>
                <w:jc w:val="center"/>
                <w:rPr>
                  <w:rFonts w:ascii="Calibri" w:hAnsi="Calibri"/>
                  <w:sz w:val="18"/>
                  <w:szCs w:val="18"/>
                  <w:lang w:val="es-ES"/>
                </w:rPr>
              </w:pPr>
            </w:p>
          </w:tc>
          <w:tc>
            <w:tcPr>
              <w:tcW w:w="678" w:type="dxa"/>
              <w:shd w:val="clear" w:color="auto" w:fill="auto"/>
              <w:vAlign w:val="center"/>
            </w:tcPr>
            <w:p w14:paraId="7E4F7D22" w14:textId="77777777" w:rsidR="00860329" w:rsidRPr="00860329" w:rsidRDefault="00860329" w:rsidP="00860329">
              <w:pPr>
                <w:pStyle w:val="Footer"/>
                <w:jc w:val="right"/>
                <w:rPr>
                  <w:rFonts w:asciiTheme="majorHAnsi" w:hAnsiTheme="majorHAnsi" w:cstheme="majorHAnsi"/>
                  <w:b/>
                  <w:bCs/>
                  <w:color w:val="AF1E2D"/>
                  <w:sz w:val="14"/>
                  <w:szCs w:val="14"/>
                </w:rPr>
              </w:pPr>
              <w:r w:rsidRPr="00860329">
                <w:rPr>
                  <w:rStyle w:val="PageNumber"/>
                  <w:rFonts w:asciiTheme="majorHAnsi" w:hAnsiTheme="majorHAnsi" w:cstheme="majorHAnsi"/>
                  <w:b/>
                  <w:bCs/>
                  <w:color w:val="2B5DA8"/>
                </w:rPr>
                <w:fldChar w:fldCharType="begin"/>
              </w:r>
              <w:r w:rsidRPr="00860329">
                <w:rPr>
                  <w:rStyle w:val="PageNumber"/>
                  <w:rFonts w:asciiTheme="majorHAnsi" w:hAnsiTheme="majorHAnsi" w:cstheme="majorHAnsi"/>
                  <w:b/>
                  <w:bCs/>
                  <w:color w:val="2B5DA8"/>
                </w:rPr>
                <w:instrText xml:space="preserve">PAGE  </w:instrText>
              </w:r>
              <w:r w:rsidRPr="00860329">
                <w:rPr>
                  <w:rStyle w:val="PageNumber"/>
                  <w:rFonts w:asciiTheme="majorHAnsi" w:hAnsiTheme="majorHAnsi" w:cstheme="majorHAnsi"/>
                  <w:b/>
                  <w:bCs/>
                  <w:color w:val="2B5DA8"/>
                </w:rPr>
                <w:fldChar w:fldCharType="separate"/>
              </w:r>
              <w:r w:rsidRPr="00860329">
                <w:rPr>
                  <w:rStyle w:val="PageNumber"/>
                  <w:rFonts w:asciiTheme="majorHAnsi" w:hAnsiTheme="majorHAnsi" w:cstheme="majorHAnsi"/>
                  <w:b/>
                  <w:bCs/>
                  <w:noProof/>
                  <w:color w:val="2B5DA8"/>
                </w:rPr>
                <w:t>6</w:t>
              </w:r>
              <w:r w:rsidRPr="00860329">
                <w:rPr>
                  <w:rStyle w:val="PageNumber"/>
                  <w:rFonts w:asciiTheme="majorHAnsi" w:hAnsiTheme="majorHAnsi" w:cstheme="majorHAnsi"/>
                  <w:b/>
                  <w:bCs/>
                  <w:color w:val="2B5DA8"/>
                </w:rPr>
                <w:fldChar w:fldCharType="end"/>
              </w:r>
            </w:p>
          </w:tc>
        </w:tr>
      </w:tbl>
      <w:p w14:paraId="56653B3B" w14:textId="75835413" w:rsidR="00F759EF" w:rsidRPr="00F759EF" w:rsidRDefault="00000000" w:rsidP="00860329">
        <w:pPr>
          <w:pStyle w:val="Footer"/>
          <w:rPr>
            <w:rFonts w:asciiTheme="majorHAnsi" w:hAnsiTheme="majorHAnsi" w:cstheme="majorHAnsi"/>
            <w:b/>
            <w:bCs/>
            <w:color w:val="2B5DA8"/>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6582" w14:textId="77777777" w:rsidR="00D07B4B" w:rsidRDefault="00D07B4B" w:rsidP="00F759EF">
      <w:pPr>
        <w:spacing w:after="0" w:line="240" w:lineRule="auto"/>
      </w:pPr>
      <w:r>
        <w:separator/>
      </w:r>
    </w:p>
  </w:footnote>
  <w:footnote w:type="continuationSeparator" w:id="0">
    <w:p w14:paraId="64932F8A" w14:textId="77777777" w:rsidR="00D07B4B" w:rsidRDefault="00D07B4B" w:rsidP="00F75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jc w:val="center"/>
      <w:tblLayout w:type="fixed"/>
      <w:tblLook w:val="01E0" w:firstRow="1" w:lastRow="1" w:firstColumn="1" w:lastColumn="1" w:noHBand="0" w:noVBand="0"/>
    </w:tblPr>
    <w:tblGrid>
      <w:gridCol w:w="2927"/>
      <w:gridCol w:w="7138"/>
    </w:tblGrid>
    <w:tr w:rsidR="00E821DA" w:rsidRPr="00E821DA" w14:paraId="0E8EAA2A" w14:textId="77777777" w:rsidTr="00860329">
      <w:trPr>
        <w:jc w:val="center"/>
      </w:trPr>
      <w:tc>
        <w:tcPr>
          <w:tcW w:w="2927" w:type="dxa"/>
          <w:shd w:val="clear" w:color="auto" w:fill="auto"/>
          <w:tcMar>
            <w:top w:w="28" w:type="dxa"/>
            <w:bottom w:w="28" w:type="dxa"/>
          </w:tcMar>
          <w:vAlign w:val="center"/>
        </w:tcPr>
        <w:p w14:paraId="15F513D9" w14:textId="1C7BAA42" w:rsidR="00E821DA" w:rsidRPr="00646B9F" w:rsidRDefault="00E821DA" w:rsidP="00860329">
          <w:pPr>
            <w:pStyle w:val="Header"/>
            <w:tabs>
              <w:tab w:val="clear" w:pos="8838"/>
              <w:tab w:val="right" w:pos="2715"/>
            </w:tabs>
            <w:ind w:left="-102"/>
            <w:rPr>
              <w:rFonts w:asciiTheme="majorHAnsi" w:hAnsiTheme="majorHAnsi" w:cstheme="majorHAnsi"/>
              <w:b/>
              <w:bCs/>
              <w:sz w:val="18"/>
              <w:szCs w:val="18"/>
              <w:lang w:val="en-GB"/>
            </w:rPr>
          </w:pPr>
          <w:r w:rsidRPr="00646B9F">
            <w:rPr>
              <w:rFonts w:asciiTheme="majorHAnsi" w:hAnsiTheme="majorHAnsi" w:cstheme="majorHAnsi"/>
              <w:b/>
              <w:bCs/>
              <w:color w:val="605E5C"/>
              <w:sz w:val="18"/>
              <w:szCs w:val="18"/>
              <w:lang w:val="en-GB"/>
            </w:rPr>
            <w:t>IBRR Survey Analysis</w:t>
          </w:r>
        </w:p>
      </w:tc>
      <w:tc>
        <w:tcPr>
          <w:tcW w:w="7138" w:type="dxa"/>
          <w:shd w:val="clear" w:color="auto" w:fill="auto"/>
          <w:vAlign w:val="center"/>
        </w:tcPr>
        <w:p w14:paraId="76073BD1" w14:textId="64F86C99" w:rsidR="00E821DA" w:rsidRPr="00646B9F" w:rsidRDefault="00E821DA" w:rsidP="00E821DA">
          <w:pPr>
            <w:pStyle w:val="Header"/>
            <w:ind w:right="-101"/>
            <w:jc w:val="right"/>
            <w:rPr>
              <w:rFonts w:asciiTheme="majorHAnsi" w:hAnsiTheme="majorHAnsi" w:cstheme="majorHAnsi"/>
              <w:b/>
              <w:bCs/>
              <w:color w:val="2B5DA8"/>
              <w:sz w:val="18"/>
              <w:szCs w:val="18"/>
              <w:lang w:val="en-GB"/>
            </w:rPr>
          </w:pPr>
          <w:r w:rsidRPr="00646B9F">
            <w:rPr>
              <w:rFonts w:asciiTheme="majorHAnsi" w:hAnsiTheme="majorHAnsi" w:cstheme="majorHAnsi"/>
              <w:b/>
              <w:bCs/>
              <w:color w:val="2B5DA8"/>
              <w:sz w:val="18"/>
              <w:szCs w:val="18"/>
              <w:lang w:val="en-GB"/>
            </w:rPr>
            <w:t>Business Dynamics 201</w:t>
          </w:r>
          <w:r w:rsidR="00860329" w:rsidRPr="00646B9F">
            <w:rPr>
              <w:rFonts w:asciiTheme="majorHAnsi" w:hAnsiTheme="majorHAnsi" w:cstheme="majorHAnsi"/>
              <w:b/>
              <w:bCs/>
              <w:color w:val="2B5DA8"/>
              <w:sz w:val="18"/>
              <w:szCs w:val="18"/>
              <w:lang w:val="en-GB"/>
            </w:rPr>
            <w:t>8-202</w:t>
          </w:r>
          <w:r w:rsidR="00A66E1A">
            <w:rPr>
              <w:rFonts w:asciiTheme="majorHAnsi" w:hAnsiTheme="majorHAnsi" w:cstheme="majorHAnsi"/>
              <w:b/>
              <w:bCs/>
              <w:color w:val="2B5DA8"/>
              <w:sz w:val="18"/>
              <w:szCs w:val="18"/>
              <w:lang w:val="en-GB"/>
            </w:rPr>
            <w:t>1</w:t>
          </w:r>
        </w:p>
      </w:tc>
    </w:tr>
  </w:tbl>
  <w:p w14:paraId="2F8DE8FC" w14:textId="77777777" w:rsidR="00F759EF" w:rsidRDefault="00F7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477"/>
    <w:multiLevelType w:val="hybridMultilevel"/>
    <w:tmpl w:val="4B1C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074F"/>
    <w:multiLevelType w:val="hybridMultilevel"/>
    <w:tmpl w:val="0D12C280"/>
    <w:lvl w:ilvl="0" w:tplc="540A0001">
      <w:start w:val="1"/>
      <w:numFmt w:val="bullet"/>
      <w:lvlText w:val=""/>
      <w:lvlJc w:val="left"/>
      <w:pPr>
        <w:ind w:left="1146" w:hanging="360"/>
      </w:pPr>
      <w:rPr>
        <w:rFonts w:ascii="Symbol" w:hAnsi="Symbol" w:hint="default"/>
      </w:rPr>
    </w:lvl>
    <w:lvl w:ilvl="1" w:tplc="540A0003" w:tentative="1">
      <w:start w:val="1"/>
      <w:numFmt w:val="bullet"/>
      <w:lvlText w:val="o"/>
      <w:lvlJc w:val="left"/>
      <w:pPr>
        <w:ind w:left="1866" w:hanging="360"/>
      </w:pPr>
      <w:rPr>
        <w:rFonts w:ascii="Courier New" w:hAnsi="Courier New" w:cs="Courier New" w:hint="default"/>
      </w:rPr>
    </w:lvl>
    <w:lvl w:ilvl="2" w:tplc="540A0005" w:tentative="1">
      <w:start w:val="1"/>
      <w:numFmt w:val="bullet"/>
      <w:lvlText w:val=""/>
      <w:lvlJc w:val="left"/>
      <w:pPr>
        <w:ind w:left="2586" w:hanging="360"/>
      </w:pPr>
      <w:rPr>
        <w:rFonts w:ascii="Wingdings" w:hAnsi="Wingdings" w:hint="default"/>
      </w:rPr>
    </w:lvl>
    <w:lvl w:ilvl="3" w:tplc="540A0001" w:tentative="1">
      <w:start w:val="1"/>
      <w:numFmt w:val="bullet"/>
      <w:lvlText w:val=""/>
      <w:lvlJc w:val="left"/>
      <w:pPr>
        <w:ind w:left="3306" w:hanging="360"/>
      </w:pPr>
      <w:rPr>
        <w:rFonts w:ascii="Symbol" w:hAnsi="Symbol" w:hint="default"/>
      </w:rPr>
    </w:lvl>
    <w:lvl w:ilvl="4" w:tplc="540A0003" w:tentative="1">
      <w:start w:val="1"/>
      <w:numFmt w:val="bullet"/>
      <w:lvlText w:val="o"/>
      <w:lvlJc w:val="left"/>
      <w:pPr>
        <w:ind w:left="4026" w:hanging="360"/>
      </w:pPr>
      <w:rPr>
        <w:rFonts w:ascii="Courier New" w:hAnsi="Courier New" w:cs="Courier New" w:hint="default"/>
      </w:rPr>
    </w:lvl>
    <w:lvl w:ilvl="5" w:tplc="540A0005" w:tentative="1">
      <w:start w:val="1"/>
      <w:numFmt w:val="bullet"/>
      <w:lvlText w:val=""/>
      <w:lvlJc w:val="left"/>
      <w:pPr>
        <w:ind w:left="4746" w:hanging="360"/>
      </w:pPr>
      <w:rPr>
        <w:rFonts w:ascii="Wingdings" w:hAnsi="Wingdings" w:hint="default"/>
      </w:rPr>
    </w:lvl>
    <w:lvl w:ilvl="6" w:tplc="540A0001" w:tentative="1">
      <w:start w:val="1"/>
      <w:numFmt w:val="bullet"/>
      <w:lvlText w:val=""/>
      <w:lvlJc w:val="left"/>
      <w:pPr>
        <w:ind w:left="5466" w:hanging="360"/>
      </w:pPr>
      <w:rPr>
        <w:rFonts w:ascii="Symbol" w:hAnsi="Symbol" w:hint="default"/>
      </w:rPr>
    </w:lvl>
    <w:lvl w:ilvl="7" w:tplc="540A0003" w:tentative="1">
      <w:start w:val="1"/>
      <w:numFmt w:val="bullet"/>
      <w:lvlText w:val="o"/>
      <w:lvlJc w:val="left"/>
      <w:pPr>
        <w:ind w:left="6186" w:hanging="360"/>
      </w:pPr>
      <w:rPr>
        <w:rFonts w:ascii="Courier New" w:hAnsi="Courier New" w:cs="Courier New" w:hint="default"/>
      </w:rPr>
    </w:lvl>
    <w:lvl w:ilvl="8" w:tplc="540A0005" w:tentative="1">
      <w:start w:val="1"/>
      <w:numFmt w:val="bullet"/>
      <w:lvlText w:val=""/>
      <w:lvlJc w:val="left"/>
      <w:pPr>
        <w:ind w:left="6906" w:hanging="360"/>
      </w:pPr>
      <w:rPr>
        <w:rFonts w:ascii="Wingdings" w:hAnsi="Wingdings" w:hint="default"/>
      </w:rPr>
    </w:lvl>
  </w:abstractNum>
  <w:abstractNum w:abstractNumId="2" w15:restartNumberingAfterBreak="0">
    <w:nsid w:val="41314554"/>
    <w:multiLevelType w:val="hybridMultilevel"/>
    <w:tmpl w:val="EFB8F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E4BC6"/>
    <w:multiLevelType w:val="hybridMultilevel"/>
    <w:tmpl w:val="76C02B94"/>
    <w:lvl w:ilvl="0" w:tplc="540A0001">
      <w:start w:val="1"/>
      <w:numFmt w:val="bullet"/>
      <w:lvlText w:val=""/>
      <w:lvlJc w:val="left"/>
      <w:pPr>
        <w:ind w:left="1146" w:hanging="360"/>
      </w:pPr>
      <w:rPr>
        <w:rFonts w:ascii="Symbol" w:hAnsi="Symbol" w:hint="default"/>
      </w:rPr>
    </w:lvl>
    <w:lvl w:ilvl="1" w:tplc="540A0003" w:tentative="1">
      <w:start w:val="1"/>
      <w:numFmt w:val="bullet"/>
      <w:lvlText w:val="o"/>
      <w:lvlJc w:val="left"/>
      <w:pPr>
        <w:ind w:left="1866" w:hanging="360"/>
      </w:pPr>
      <w:rPr>
        <w:rFonts w:ascii="Courier New" w:hAnsi="Courier New" w:cs="Courier New" w:hint="default"/>
      </w:rPr>
    </w:lvl>
    <w:lvl w:ilvl="2" w:tplc="540A0005" w:tentative="1">
      <w:start w:val="1"/>
      <w:numFmt w:val="bullet"/>
      <w:lvlText w:val=""/>
      <w:lvlJc w:val="left"/>
      <w:pPr>
        <w:ind w:left="2586" w:hanging="360"/>
      </w:pPr>
      <w:rPr>
        <w:rFonts w:ascii="Wingdings" w:hAnsi="Wingdings" w:hint="default"/>
      </w:rPr>
    </w:lvl>
    <w:lvl w:ilvl="3" w:tplc="540A0001" w:tentative="1">
      <w:start w:val="1"/>
      <w:numFmt w:val="bullet"/>
      <w:lvlText w:val=""/>
      <w:lvlJc w:val="left"/>
      <w:pPr>
        <w:ind w:left="3306" w:hanging="360"/>
      </w:pPr>
      <w:rPr>
        <w:rFonts w:ascii="Symbol" w:hAnsi="Symbol" w:hint="default"/>
      </w:rPr>
    </w:lvl>
    <w:lvl w:ilvl="4" w:tplc="540A0003" w:tentative="1">
      <w:start w:val="1"/>
      <w:numFmt w:val="bullet"/>
      <w:lvlText w:val="o"/>
      <w:lvlJc w:val="left"/>
      <w:pPr>
        <w:ind w:left="4026" w:hanging="360"/>
      </w:pPr>
      <w:rPr>
        <w:rFonts w:ascii="Courier New" w:hAnsi="Courier New" w:cs="Courier New" w:hint="default"/>
      </w:rPr>
    </w:lvl>
    <w:lvl w:ilvl="5" w:tplc="540A0005" w:tentative="1">
      <w:start w:val="1"/>
      <w:numFmt w:val="bullet"/>
      <w:lvlText w:val=""/>
      <w:lvlJc w:val="left"/>
      <w:pPr>
        <w:ind w:left="4746" w:hanging="360"/>
      </w:pPr>
      <w:rPr>
        <w:rFonts w:ascii="Wingdings" w:hAnsi="Wingdings" w:hint="default"/>
      </w:rPr>
    </w:lvl>
    <w:lvl w:ilvl="6" w:tplc="540A0001" w:tentative="1">
      <w:start w:val="1"/>
      <w:numFmt w:val="bullet"/>
      <w:lvlText w:val=""/>
      <w:lvlJc w:val="left"/>
      <w:pPr>
        <w:ind w:left="5466" w:hanging="360"/>
      </w:pPr>
      <w:rPr>
        <w:rFonts w:ascii="Symbol" w:hAnsi="Symbol" w:hint="default"/>
      </w:rPr>
    </w:lvl>
    <w:lvl w:ilvl="7" w:tplc="540A0003" w:tentative="1">
      <w:start w:val="1"/>
      <w:numFmt w:val="bullet"/>
      <w:lvlText w:val="o"/>
      <w:lvlJc w:val="left"/>
      <w:pPr>
        <w:ind w:left="6186" w:hanging="360"/>
      </w:pPr>
      <w:rPr>
        <w:rFonts w:ascii="Courier New" w:hAnsi="Courier New" w:cs="Courier New" w:hint="default"/>
      </w:rPr>
    </w:lvl>
    <w:lvl w:ilvl="8" w:tplc="540A0005" w:tentative="1">
      <w:start w:val="1"/>
      <w:numFmt w:val="bullet"/>
      <w:lvlText w:val=""/>
      <w:lvlJc w:val="left"/>
      <w:pPr>
        <w:ind w:left="6906" w:hanging="360"/>
      </w:pPr>
      <w:rPr>
        <w:rFonts w:ascii="Wingdings" w:hAnsi="Wingdings" w:hint="default"/>
      </w:rPr>
    </w:lvl>
  </w:abstractNum>
  <w:abstractNum w:abstractNumId="4" w15:restartNumberingAfterBreak="0">
    <w:nsid w:val="609800AB"/>
    <w:multiLevelType w:val="hybridMultilevel"/>
    <w:tmpl w:val="9E98D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A7608D"/>
    <w:multiLevelType w:val="hybridMultilevel"/>
    <w:tmpl w:val="564C2198"/>
    <w:lvl w:ilvl="0" w:tplc="08CE2B74">
      <w:start w:val="3"/>
      <w:numFmt w:val="bullet"/>
      <w:lvlText w:val="-"/>
      <w:lvlJc w:val="left"/>
      <w:pPr>
        <w:ind w:left="408" w:hanging="360"/>
      </w:pPr>
      <w:rPr>
        <w:rFonts w:ascii="Calibri" w:eastAsiaTheme="minorHAnsi" w:hAnsi="Calibri" w:cs="Calibri" w:hint="default"/>
      </w:rPr>
    </w:lvl>
    <w:lvl w:ilvl="1" w:tplc="20000003">
      <w:start w:val="1"/>
      <w:numFmt w:val="bullet"/>
      <w:lvlText w:val="o"/>
      <w:lvlJc w:val="left"/>
      <w:pPr>
        <w:ind w:left="1128" w:hanging="360"/>
      </w:pPr>
      <w:rPr>
        <w:rFonts w:ascii="Courier New" w:hAnsi="Courier New" w:cs="Courier New" w:hint="default"/>
      </w:rPr>
    </w:lvl>
    <w:lvl w:ilvl="2" w:tplc="20000005" w:tentative="1">
      <w:start w:val="1"/>
      <w:numFmt w:val="bullet"/>
      <w:lvlText w:val=""/>
      <w:lvlJc w:val="left"/>
      <w:pPr>
        <w:ind w:left="1848" w:hanging="360"/>
      </w:pPr>
      <w:rPr>
        <w:rFonts w:ascii="Wingdings" w:hAnsi="Wingdings" w:hint="default"/>
      </w:rPr>
    </w:lvl>
    <w:lvl w:ilvl="3" w:tplc="20000001" w:tentative="1">
      <w:start w:val="1"/>
      <w:numFmt w:val="bullet"/>
      <w:lvlText w:val=""/>
      <w:lvlJc w:val="left"/>
      <w:pPr>
        <w:ind w:left="2568" w:hanging="360"/>
      </w:pPr>
      <w:rPr>
        <w:rFonts w:ascii="Symbol" w:hAnsi="Symbol" w:hint="default"/>
      </w:rPr>
    </w:lvl>
    <w:lvl w:ilvl="4" w:tplc="20000003" w:tentative="1">
      <w:start w:val="1"/>
      <w:numFmt w:val="bullet"/>
      <w:lvlText w:val="o"/>
      <w:lvlJc w:val="left"/>
      <w:pPr>
        <w:ind w:left="3288" w:hanging="360"/>
      </w:pPr>
      <w:rPr>
        <w:rFonts w:ascii="Courier New" w:hAnsi="Courier New" w:cs="Courier New" w:hint="default"/>
      </w:rPr>
    </w:lvl>
    <w:lvl w:ilvl="5" w:tplc="20000005" w:tentative="1">
      <w:start w:val="1"/>
      <w:numFmt w:val="bullet"/>
      <w:lvlText w:val=""/>
      <w:lvlJc w:val="left"/>
      <w:pPr>
        <w:ind w:left="4008" w:hanging="360"/>
      </w:pPr>
      <w:rPr>
        <w:rFonts w:ascii="Wingdings" w:hAnsi="Wingdings" w:hint="default"/>
      </w:rPr>
    </w:lvl>
    <w:lvl w:ilvl="6" w:tplc="20000001" w:tentative="1">
      <w:start w:val="1"/>
      <w:numFmt w:val="bullet"/>
      <w:lvlText w:val=""/>
      <w:lvlJc w:val="left"/>
      <w:pPr>
        <w:ind w:left="4728" w:hanging="360"/>
      </w:pPr>
      <w:rPr>
        <w:rFonts w:ascii="Symbol" w:hAnsi="Symbol" w:hint="default"/>
      </w:rPr>
    </w:lvl>
    <w:lvl w:ilvl="7" w:tplc="20000003" w:tentative="1">
      <w:start w:val="1"/>
      <w:numFmt w:val="bullet"/>
      <w:lvlText w:val="o"/>
      <w:lvlJc w:val="left"/>
      <w:pPr>
        <w:ind w:left="5448" w:hanging="360"/>
      </w:pPr>
      <w:rPr>
        <w:rFonts w:ascii="Courier New" w:hAnsi="Courier New" w:cs="Courier New" w:hint="default"/>
      </w:rPr>
    </w:lvl>
    <w:lvl w:ilvl="8" w:tplc="20000005" w:tentative="1">
      <w:start w:val="1"/>
      <w:numFmt w:val="bullet"/>
      <w:lvlText w:val=""/>
      <w:lvlJc w:val="left"/>
      <w:pPr>
        <w:ind w:left="6168" w:hanging="360"/>
      </w:pPr>
      <w:rPr>
        <w:rFonts w:ascii="Wingdings" w:hAnsi="Wingdings" w:hint="default"/>
      </w:rPr>
    </w:lvl>
  </w:abstractNum>
  <w:num w:numId="1" w16cid:durableId="1706178431">
    <w:abstractNumId w:val="5"/>
  </w:num>
  <w:num w:numId="2" w16cid:durableId="526603851">
    <w:abstractNumId w:val="4"/>
  </w:num>
  <w:num w:numId="3" w16cid:durableId="1415786620">
    <w:abstractNumId w:val="2"/>
  </w:num>
  <w:num w:numId="4" w16cid:durableId="1123226502">
    <w:abstractNumId w:val="0"/>
  </w:num>
  <w:num w:numId="5" w16cid:durableId="279267064">
    <w:abstractNumId w:val="3"/>
  </w:num>
  <w:num w:numId="6" w16cid:durableId="888226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DF"/>
    <w:rsid w:val="00000A0F"/>
    <w:rsid w:val="00024873"/>
    <w:rsid w:val="000629A7"/>
    <w:rsid w:val="00065ECE"/>
    <w:rsid w:val="00075057"/>
    <w:rsid w:val="00082A6E"/>
    <w:rsid w:val="00083C87"/>
    <w:rsid w:val="00097E80"/>
    <w:rsid w:val="000A3C7E"/>
    <w:rsid w:val="000B6D36"/>
    <w:rsid w:val="000F5D39"/>
    <w:rsid w:val="000F6A4D"/>
    <w:rsid w:val="000F7A18"/>
    <w:rsid w:val="001003F4"/>
    <w:rsid w:val="00133CDE"/>
    <w:rsid w:val="00174B39"/>
    <w:rsid w:val="00182B8F"/>
    <w:rsid w:val="001B59DD"/>
    <w:rsid w:val="001C54DF"/>
    <w:rsid w:val="001D2EF3"/>
    <w:rsid w:val="001D7CF3"/>
    <w:rsid w:val="00206EF1"/>
    <w:rsid w:val="00234E34"/>
    <w:rsid w:val="0024478B"/>
    <w:rsid w:val="0025383D"/>
    <w:rsid w:val="002559A7"/>
    <w:rsid w:val="002579D8"/>
    <w:rsid w:val="00277ED0"/>
    <w:rsid w:val="002B209C"/>
    <w:rsid w:val="002B4CF5"/>
    <w:rsid w:val="002D0361"/>
    <w:rsid w:val="002D2CA5"/>
    <w:rsid w:val="00301141"/>
    <w:rsid w:val="00331AC3"/>
    <w:rsid w:val="00350E42"/>
    <w:rsid w:val="003516DF"/>
    <w:rsid w:val="003552D7"/>
    <w:rsid w:val="0036244E"/>
    <w:rsid w:val="0036346B"/>
    <w:rsid w:val="00373211"/>
    <w:rsid w:val="003758B6"/>
    <w:rsid w:val="003C0CC9"/>
    <w:rsid w:val="003D3476"/>
    <w:rsid w:val="003E2F20"/>
    <w:rsid w:val="003E553E"/>
    <w:rsid w:val="003F1DAA"/>
    <w:rsid w:val="003F7491"/>
    <w:rsid w:val="00405D0B"/>
    <w:rsid w:val="00415A1E"/>
    <w:rsid w:val="00431944"/>
    <w:rsid w:val="00437741"/>
    <w:rsid w:val="004633C2"/>
    <w:rsid w:val="00467542"/>
    <w:rsid w:val="00482AD8"/>
    <w:rsid w:val="004D290B"/>
    <w:rsid w:val="004D31EC"/>
    <w:rsid w:val="004E286E"/>
    <w:rsid w:val="00500758"/>
    <w:rsid w:val="00545932"/>
    <w:rsid w:val="005A5853"/>
    <w:rsid w:val="005C5DCA"/>
    <w:rsid w:val="005C61DA"/>
    <w:rsid w:val="005E44AC"/>
    <w:rsid w:val="005E77A7"/>
    <w:rsid w:val="005F674F"/>
    <w:rsid w:val="0060208F"/>
    <w:rsid w:val="00605BA0"/>
    <w:rsid w:val="006072B1"/>
    <w:rsid w:val="006236FD"/>
    <w:rsid w:val="006427B6"/>
    <w:rsid w:val="00642C36"/>
    <w:rsid w:val="00646B9F"/>
    <w:rsid w:val="00651B63"/>
    <w:rsid w:val="00664AE9"/>
    <w:rsid w:val="00675DF4"/>
    <w:rsid w:val="006907ED"/>
    <w:rsid w:val="00693AE9"/>
    <w:rsid w:val="006B6D66"/>
    <w:rsid w:val="006D081E"/>
    <w:rsid w:val="0072166B"/>
    <w:rsid w:val="007A456D"/>
    <w:rsid w:val="007C0161"/>
    <w:rsid w:val="007D378D"/>
    <w:rsid w:val="007E3B47"/>
    <w:rsid w:val="007F6B53"/>
    <w:rsid w:val="00806F36"/>
    <w:rsid w:val="00812679"/>
    <w:rsid w:val="00815586"/>
    <w:rsid w:val="008279E7"/>
    <w:rsid w:val="00831354"/>
    <w:rsid w:val="00833A7C"/>
    <w:rsid w:val="00836E3D"/>
    <w:rsid w:val="0084381F"/>
    <w:rsid w:val="00860329"/>
    <w:rsid w:val="008625E5"/>
    <w:rsid w:val="0087189D"/>
    <w:rsid w:val="008839D2"/>
    <w:rsid w:val="008849E9"/>
    <w:rsid w:val="00884A4A"/>
    <w:rsid w:val="008E3053"/>
    <w:rsid w:val="008E7342"/>
    <w:rsid w:val="008F3756"/>
    <w:rsid w:val="008F5138"/>
    <w:rsid w:val="0092046B"/>
    <w:rsid w:val="00953683"/>
    <w:rsid w:val="009A423C"/>
    <w:rsid w:val="009C03C1"/>
    <w:rsid w:val="009D383B"/>
    <w:rsid w:val="009D6E38"/>
    <w:rsid w:val="00A06181"/>
    <w:rsid w:val="00A1553D"/>
    <w:rsid w:val="00A249FE"/>
    <w:rsid w:val="00A265EF"/>
    <w:rsid w:val="00A416D8"/>
    <w:rsid w:val="00A4270B"/>
    <w:rsid w:val="00A46B2E"/>
    <w:rsid w:val="00A543B1"/>
    <w:rsid w:val="00A60C84"/>
    <w:rsid w:val="00A66E1A"/>
    <w:rsid w:val="00A721F9"/>
    <w:rsid w:val="00AD2716"/>
    <w:rsid w:val="00AE163E"/>
    <w:rsid w:val="00AE19BE"/>
    <w:rsid w:val="00AE203F"/>
    <w:rsid w:val="00AF24CC"/>
    <w:rsid w:val="00AF7070"/>
    <w:rsid w:val="00B0077F"/>
    <w:rsid w:val="00B039D7"/>
    <w:rsid w:val="00B112FC"/>
    <w:rsid w:val="00B23679"/>
    <w:rsid w:val="00B362C2"/>
    <w:rsid w:val="00B37B0A"/>
    <w:rsid w:val="00B442A5"/>
    <w:rsid w:val="00B60267"/>
    <w:rsid w:val="00B71B23"/>
    <w:rsid w:val="00B77946"/>
    <w:rsid w:val="00B80A9A"/>
    <w:rsid w:val="00B831E2"/>
    <w:rsid w:val="00B87F4F"/>
    <w:rsid w:val="00B95888"/>
    <w:rsid w:val="00BA1E0E"/>
    <w:rsid w:val="00BA255A"/>
    <w:rsid w:val="00BC5336"/>
    <w:rsid w:val="00BD7E3F"/>
    <w:rsid w:val="00BF460F"/>
    <w:rsid w:val="00C03A93"/>
    <w:rsid w:val="00C140AF"/>
    <w:rsid w:val="00C20B16"/>
    <w:rsid w:val="00C244CA"/>
    <w:rsid w:val="00C33896"/>
    <w:rsid w:val="00C648A4"/>
    <w:rsid w:val="00C6650E"/>
    <w:rsid w:val="00C66C26"/>
    <w:rsid w:val="00C7326A"/>
    <w:rsid w:val="00CB50B6"/>
    <w:rsid w:val="00CC207C"/>
    <w:rsid w:val="00CD272F"/>
    <w:rsid w:val="00D02C20"/>
    <w:rsid w:val="00D03874"/>
    <w:rsid w:val="00D07B4B"/>
    <w:rsid w:val="00D26286"/>
    <w:rsid w:val="00D30547"/>
    <w:rsid w:val="00D4316B"/>
    <w:rsid w:val="00D52861"/>
    <w:rsid w:val="00DB4BDE"/>
    <w:rsid w:val="00DC4903"/>
    <w:rsid w:val="00E242EF"/>
    <w:rsid w:val="00E41AC8"/>
    <w:rsid w:val="00E637A2"/>
    <w:rsid w:val="00E821DA"/>
    <w:rsid w:val="00E82F0D"/>
    <w:rsid w:val="00E94A8C"/>
    <w:rsid w:val="00E94FF6"/>
    <w:rsid w:val="00EA5F5D"/>
    <w:rsid w:val="00EB1CE8"/>
    <w:rsid w:val="00ED18B6"/>
    <w:rsid w:val="00EE2D62"/>
    <w:rsid w:val="00EF1CCE"/>
    <w:rsid w:val="00F07B4B"/>
    <w:rsid w:val="00F27A81"/>
    <w:rsid w:val="00F3059E"/>
    <w:rsid w:val="00F3588E"/>
    <w:rsid w:val="00F435D1"/>
    <w:rsid w:val="00F6123E"/>
    <w:rsid w:val="00F666DB"/>
    <w:rsid w:val="00F759EF"/>
    <w:rsid w:val="00F90B8B"/>
    <w:rsid w:val="00FB44FF"/>
    <w:rsid w:val="00FB64EB"/>
    <w:rsid w:val="00FC1723"/>
    <w:rsid w:val="00FC252E"/>
    <w:rsid w:val="00FE3AC6"/>
    <w:rsid w:val="00FF622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D8A7A"/>
  <w15:chartTrackingRefBased/>
  <w15:docId w15:val="{BCFB683A-805E-4A72-BDB7-A95B4136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6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9D7"/>
    <w:pPr>
      <w:ind w:left="720"/>
      <w:contextualSpacing/>
    </w:pPr>
  </w:style>
  <w:style w:type="character" w:customStyle="1" w:styleId="Heading1Char">
    <w:name w:val="Heading 1 Char"/>
    <w:basedOn w:val="DefaultParagraphFont"/>
    <w:link w:val="Heading1"/>
    <w:uiPriority w:val="9"/>
    <w:rsid w:val="000B6D3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F759EF"/>
    <w:pPr>
      <w:tabs>
        <w:tab w:val="center" w:pos="4419"/>
        <w:tab w:val="right" w:pos="8838"/>
      </w:tabs>
      <w:spacing w:after="0" w:line="240" w:lineRule="auto"/>
    </w:pPr>
  </w:style>
  <w:style w:type="character" w:customStyle="1" w:styleId="HeaderChar">
    <w:name w:val="Header Char"/>
    <w:basedOn w:val="DefaultParagraphFont"/>
    <w:link w:val="Header"/>
    <w:rsid w:val="00F759EF"/>
  </w:style>
  <w:style w:type="paragraph" w:styleId="Footer">
    <w:name w:val="footer"/>
    <w:basedOn w:val="Normal"/>
    <w:link w:val="FooterChar"/>
    <w:unhideWhenUsed/>
    <w:rsid w:val="00F759EF"/>
    <w:pPr>
      <w:tabs>
        <w:tab w:val="center" w:pos="4419"/>
        <w:tab w:val="right" w:pos="8838"/>
      </w:tabs>
      <w:spacing w:after="0" w:line="240" w:lineRule="auto"/>
    </w:pPr>
  </w:style>
  <w:style w:type="character" w:customStyle="1" w:styleId="FooterChar">
    <w:name w:val="Footer Char"/>
    <w:basedOn w:val="DefaultParagraphFont"/>
    <w:link w:val="Footer"/>
    <w:rsid w:val="00F759EF"/>
  </w:style>
  <w:style w:type="character" w:styleId="PageNumber">
    <w:name w:val="page number"/>
    <w:basedOn w:val="DefaultParagraphFont"/>
    <w:rsid w:val="00860329"/>
  </w:style>
  <w:style w:type="paragraph" w:styleId="Revision">
    <w:name w:val="Revision"/>
    <w:hidden/>
    <w:uiPriority w:val="99"/>
    <w:semiHidden/>
    <w:rsid w:val="002579D8"/>
    <w:pPr>
      <w:spacing w:after="0" w:line="240" w:lineRule="auto"/>
    </w:pPr>
  </w:style>
  <w:style w:type="character" w:styleId="Hyperlink">
    <w:name w:val="Hyperlink"/>
    <w:basedOn w:val="DefaultParagraphFont"/>
    <w:uiPriority w:val="99"/>
    <w:unhideWhenUsed/>
    <w:rsid w:val="00EB1CE8"/>
    <w:rPr>
      <w:color w:val="0563C1" w:themeColor="hyperlink"/>
      <w:u w:val="single"/>
    </w:rPr>
  </w:style>
  <w:style w:type="character" w:styleId="UnresolvedMention">
    <w:name w:val="Unresolved Mention"/>
    <w:basedOn w:val="DefaultParagraphFont"/>
    <w:uiPriority w:val="99"/>
    <w:semiHidden/>
    <w:unhideWhenUsed/>
    <w:rsid w:val="00EB1CE8"/>
    <w:rPr>
      <w:color w:val="605E5C"/>
      <w:shd w:val="clear" w:color="auto" w:fill="E1DFDD"/>
    </w:rPr>
  </w:style>
  <w:style w:type="character" w:styleId="CommentReference">
    <w:name w:val="annotation reference"/>
    <w:basedOn w:val="DefaultParagraphFont"/>
    <w:uiPriority w:val="99"/>
    <w:semiHidden/>
    <w:unhideWhenUsed/>
    <w:rsid w:val="004E286E"/>
    <w:rPr>
      <w:sz w:val="16"/>
      <w:szCs w:val="16"/>
    </w:rPr>
  </w:style>
  <w:style w:type="paragraph" w:styleId="CommentText">
    <w:name w:val="annotation text"/>
    <w:basedOn w:val="Normal"/>
    <w:link w:val="CommentTextChar"/>
    <w:uiPriority w:val="99"/>
    <w:semiHidden/>
    <w:unhideWhenUsed/>
    <w:rsid w:val="004E286E"/>
    <w:pPr>
      <w:spacing w:line="240" w:lineRule="auto"/>
    </w:pPr>
    <w:rPr>
      <w:sz w:val="20"/>
      <w:szCs w:val="20"/>
    </w:rPr>
  </w:style>
  <w:style w:type="character" w:customStyle="1" w:styleId="CommentTextChar">
    <w:name w:val="Comment Text Char"/>
    <w:basedOn w:val="DefaultParagraphFont"/>
    <w:link w:val="CommentText"/>
    <w:uiPriority w:val="99"/>
    <w:semiHidden/>
    <w:rsid w:val="004E286E"/>
    <w:rPr>
      <w:sz w:val="20"/>
      <w:szCs w:val="20"/>
    </w:rPr>
  </w:style>
  <w:style w:type="paragraph" w:styleId="CommentSubject">
    <w:name w:val="annotation subject"/>
    <w:basedOn w:val="CommentText"/>
    <w:next w:val="CommentText"/>
    <w:link w:val="CommentSubjectChar"/>
    <w:uiPriority w:val="99"/>
    <w:semiHidden/>
    <w:unhideWhenUsed/>
    <w:rsid w:val="004E286E"/>
    <w:rPr>
      <w:b/>
      <w:bCs/>
    </w:rPr>
  </w:style>
  <w:style w:type="character" w:customStyle="1" w:styleId="CommentSubjectChar">
    <w:name w:val="Comment Subject Char"/>
    <w:basedOn w:val="CommentTextChar"/>
    <w:link w:val="CommentSubject"/>
    <w:uiPriority w:val="99"/>
    <w:semiHidden/>
    <w:rsid w:val="004E286E"/>
    <w:rPr>
      <w:b/>
      <w:bCs/>
      <w:sz w:val="20"/>
      <w:szCs w:val="20"/>
    </w:rPr>
  </w:style>
  <w:style w:type="paragraph" w:styleId="BalloonText">
    <w:name w:val="Balloon Text"/>
    <w:basedOn w:val="Normal"/>
    <w:link w:val="BalloonTextChar"/>
    <w:uiPriority w:val="99"/>
    <w:semiHidden/>
    <w:unhideWhenUsed/>
    <w:rsid w:val="004E2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5432">
      <w:bodyDiv w:val="1"/>
      <w:marLeft w:val="0"/>
      <w:marRight w:val="0"/>
      <w:marTop w:val="0"/>
      <w:marBottom w:val="0"/>
      <w:divBdr>
        <w:top w:val="none" w:sz="0" w:space="0" w:color="auto"/>
        <w:left w:val="none" w:sz="0" w:space="0" w:color="auto"/>
        <w:bottom w:val="none" w:sz="0" w:space="0" w:color="auto"/>
        <w:right w:val="none" w:sz="0" w:space="0" w:color="auto"/>
      </w:divBdr>
    </w:div>
    <w:div w:id="1217859889">
      <w:bodyDiv w:val="1"/>
      <w:marLeft w:val="0"/>
      <w:marRight w:val="0"/>
      <w:marTop w:val="0"/>
      <w:marBottom w:val="0"/>
      <w:divBdr>
        <w:top w:val="none" w:sz="0" w:space="0" w:color="auto"/>
        <w:left w:val="none" w:sz="0" w:space="0" w:color="auto"/>
        <w:bottom w:val="none" w:sz="0" w:space="0" w:color="auto"/>
        <w:right w:val="none" w:sz="0" w:space="0" w:color="auto"/>
      </w:divBdr>
    </w:div>
    <w:div w:id="1594974772">
      <w:bodyDiv w:val="1"/>
      <w:marLeft w:val="0"/>
      <w:marRight w:val="0"/>
      <w:marTop w:val="0"/>
      <w:marBottom w:val="0"/>
      <w:divBdr>
        <w:top w:val="none" w:sz="0" w:space="0" w:color="auto"/>
        <w:left w:val="none" w:sz="0" w:space="0" w:color="auto"/>
        <w:bottom w:val="none" w:sz="0" w:space="0" w:color="auto"/>
        <w:right w:val="none" w:sz="0" w:space="0" w:color="auto"/>
      </w:divBdr>
    </w:div>
    <w:div w:id="19474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1181</Words>
  <Characters>6733</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Ljubinka  Slaveska</dc:creator>
  <cp:keywords/>
  <dc:description/>
  <cp:lastModifiedBy>Helen Fletcher</cp:lastModifiedBy>
  <cp:revision>6</cp:revision>
  <dcterms:created xsi:type="dcterms:W3CDTF">2023-06-21T15:52:00Z</dcterms:created>
  <dcterms:modified xsi:type="dcterms:W3CDTF">2023-06-22T10:57:00Z</dcterms:modified>
</cp:coreProperties>
</file>